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1965"/>
        </w:tabs>
        <w:spacing w:line="360" w:lineRule="auto"/>
        <w:rPr>
          <w:rFonts w:hint="eastAsia" w:ascii="仿宋_GB2312" w:hAnsi="仿宋_GB2312" w:eastAsia="仿宋_GB2312" w:cs="仿宋_GB2312"/>
          <w:sz w:val="32"/>
          <w:szCs w:val="32"/>
          <w:lang w:eastAsia="zh-CN"/>
        </w:rPr>
      </w:pPr>
      <w:r>
        <w:rPr>
          <w:rFonts w:hint="eastAsia" w:ascii="黑体" w:hAnsi="黑体" w:eastAsia="黑体" w:cs="黑体"/>
          <w:bCs/>
          <w:color w:val="auto"/>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内建协〔2022〕108号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关于开展2022年内蒙古自治区智能化优质工程奖评选工作的通知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我区建筑智能化的技术进步，促进智能化企业技术装备水平和经营管理水平，强化质量“精品”意识，发挥优质工程项目的示范作用。我会决定继续开展评选“内蒙古自治区智能化优质工程奖”活动，具体承办事宜由绿色建造与智能化分会负责。请各盟市建筑业协会按照《内蒙古自治区智能化优质工程评选办法》规定，做好推荐申报工作。</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请于2022年6月20日前将材料通过网上申报系统报至自治区建筑业协会，系统操作流程见（附件3）。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一、主要评选范围：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选工程类型包括：新建、改建、扩建公共建筑和居住建筑类工程及相关智能化工程。其中公共建筑类：智能化工程造价在500（含）万元以上；住宅建筑（住宅小区含高层型住宅小区和别墅型住宅小区）：智能化工程造价在200（含）万元以上。</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（一）申报单位应具有建筑机电工程专业承包（电子与智能化工程专业承包、建筑机电安装工程专业承包、城市及道路照明工程专业承包）及通信施工等相关资质和安全生产许可证书。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（二）具体申报条件详见内蒙古自治区智能化优质工程奖评选办法（2022年修订版）（附件1）。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（三）申报项目竣工验收的时间要求在三年以内，历年已参评项目不得重复申报。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三、申报流程及要求：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（一）本次申报采取网上申报，网上申报时间为5月25日至6月20日，逾期将无法申报。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（二）请各推荐单位按照文件要求，做好推荐申报工作，于2022年6月25日前完成网上初审推荐。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人：刘天娇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联系电话：18647710968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箱：nmgjxznh@163.com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 </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00150" cy="1200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200150" cy="120015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"http://build.site.hangxintong.cn/xiehuiweb/232269773/files/ueditor/jsp/upload/file/20220519/1652962687100063487.docx" \o "附件1：内蒙古自治区智能化优质工程奖评选办法（2022年修订版）.docx"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1：内蒙古自治区智能化优质工程奖评选办法（2022</w:t>
      </w:r>
      <w:r>
        <w:rPr>
          <w:rFonts w:hint="eastAsia" w:ascii="仿宋_GB2312" w:hAnsi="仿宋_GB2312" w:eastAsia="仿宋_GB2312" w:cs="仿宋_GB2312"/>
          <w:color w:val="auto"/>
          <w:sz w:val="32"/>
          <w:szCs w:val="32"/>
        </w:rPr>
        <w:fldChar w:fldCharType="end"/>
      </w:r>
    </w:p>
    <w:p>
      <w:pPr>
        <w:bidi w:val="0"/>
        <w:ind w:left="1918" w:leftChars="304" w:hanging="1280" w:hanging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Style w:val="8"/>
          <w:rFonts w:hint="eastAsia" w:ascii="仿宋_GB2312" w:hAnsi="仿宋_GB2312" w:eastAsia="仿宋_GB2312" w:cs="仿宋_GB2312"/>
          <w:color w:val="auto"/>
          <w:sz w:val="32"/>
          <w:szCs w:val="32"/>
          <w:u w:val="none"/>
        </w:rPr>
        <w:t>年修订版）</w:t>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"http://build.site.hangxintong.cn/xiehuiweb/232269773/files/ueditor/jsp/upload/file/20220519/1652962687194077469.docx" \o "附件2：填报说明.docx"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2</w:t>
      </w:r>
      <w:r>
        <w:rPr>
          <w:rStyle w:val="8"/>
          <w:rFonts w:hint="eastAsia" w:ascii="仿宋_GB2312" w:hAnsi="仿宋_GB2312" w:eastAsia="仿宋_GB2312" w:cs="仿宋_GB2312"/>
          <w:color w:val="auto"/>
          <w:sz w:val="32"/>
          <w:szCs w:val="32"/>
          <w:u w:val="none"/>
          <w:lang w:eastAsia="zh-CN"/>
        </w:rPr>
        <w:t>：</w:t>
      </w:r>
      <w:r>
        <w:rPr>
          <w:rStyle w:val="8"/>
          <w:rFonts w:hint="eastAsia" w:ascii="仿宋_GB2312" w:hAnsi="仿宋_GB2312" w:eastAsia="仿宋_GB2312" w:cs="仿宋_GB2312"/>
          <w:color w:val="auto"/>
          <w:sz w:val="32"/>
          <w:szCs w:val="32"/>
          <w:u w:val="none"/>
        </w:rPr>
        <w:t>填报说明</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"http://build.site.hangxintong.cn/xiehuiweb/232269773/files/ueditor/jsp/upload/file/20220519/1652962688322014034.docx" \o "附件3：申报指南.docx"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3</w:t>
      </w:r>
      <w:r>
        <w:rPr>
          <w:rStyle w:val="8"/>
          <w:rFonts w:hint="eastAsia" w:ascii="仿宋_GB2312" w:hAnsi="仿宋_GB2312" w:eastAsia="仿宋_GB2312" w:cs="仿宋_GB2312"/>
          <w:color w:val="auto"/>
          <w:sz w:val="32"/>
          <w:szCs w:val="32"/>
          <w:u w:val="none"/>
          <w:lang w:eastAsia="zh-CN"/>
        </w:rPr>
        <w:t>：</w:t>
      </w:r>
      <w:r>
        <w:rPr>
          <w:rStyle w:val="8"/>
          <w:rFonts w:hint="eastAsia" w:ascii="仿宋_GB2312" w:hAnsi="仿宋_GB2312" w:eastAsia="仿宋_GB2312" w:cs="仿宋_GB2312"/>
          <w:color w:val="auto"/>
          <w:sz w:val="32"/>
          <w:szCs w:val="32"/>
          <w:u w:val="none"/>
        </w:rPr>
        <w:t>申报指南</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2022年4月7日</w:t>
      </w:r>
    </w:p>
    <w:p>
      <w:pPr>
        <w:bidi w:val="0"/>
        <w:jc w:val="both"/>
        <w:rPr>
          <w:rFonts w:hint="eastAsia" w:ascii="仿宋_GB2312" w:hAnsi="仿宋_GB2312" w:eastAsia="仿宋_GB2312" w:cs="仿宋_GB2312"/>
          <w:sz w:val="32"/>
          <w:szCs w:val="32"/>
          <w:lang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pPr>
    </w:p>
    <w:p>
      <w:pPr>
        <w:widowControl/>
        <w:tabs>
          <w:tab w:val="left" w:pos="1965"/>
        </w:tabs>
        <w:spacing w:line="360" w:lineRule="auto"/>
        <w:rPr>
          <w:rFonts w:hint="default" w:ascii="仿宋" w:hAnsi="仿宋" w:eastAsia="仿宋" w:cs="仿宋"/>
          <w:bCs/>
          <w:color w:val="auto"/>
          <w:sz w:val="32"/>
          <w:lang w:val="en-US"/>
        </w:rPr>
      </w:pPr>
      <w:r>
        <w:rPr>
          <w:rFonts w:hint="eastAsia" w:ascii="仿宋" w:hAnsi="仿宋" w:eastAsia="仿宋" w:cs="仿宋"/>
          <w:bCs/>
          <w:color w:val="auto"/>
          <w:sz w:val="32"/>
        </w:rPr>
        <w:t>附件</w:t>
      </w:r>
      <w:r>
        <w:rPr>
          <w:rFonts w:hint="eastAsia" w:ascii="仿宋" w:hAnsi="仿宋" w:eastAsia="仿宋" w:cs="仿宋"/>
          <w:bCs/>
          <w:color w:val="auto"/>
          <w:sz w:val="32"/>
          <w:lang w:val="en-US" w:eastAsia="zh-CN"/>
        </w:rPr>
        <w:t>1:</w:t>
      </w:r>
    </w:p>
    <w:p>
      <w:pPr>
        <w:widowControl/>
        <w:tabs>
          <w:tab w:val="left" w:pos="1965"/>
        </w:tabs>
        <w:spacing w:line="360" w:lineRule="auto"/>
        <w:jc w:val="center"/>
        <w:rPr>
          <w:rFonts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内蒙古自治区智能化优质工程奖评选办法</w:t>
      </w:r>
    </w:p>
    <w:p>
      <w:pPr>
        <w:widowControl/>
        <w:tabs>
          <w:tab w:val="left" w:pos="1965"/>
        </w:tabs>
        <w:spacing w:line="360" w:lineRule="auto"/>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2022年修订版</w:t>
      </w:r>
      <w:r>
        <w:rPr>
          <w:rFonts w:hint="eastAsia" w:ascii="仿宋" w:hAnsi="仿宋" w:eastAsia="仿宋" w:cs="仿宋"/>
          <w:bCs/>
          <w:color w:val="auto"/>
          <w:sz w:val="32"/>
          <w:szCs w:val="32"/>
        </w:rPr>
        <w:t>）</w:t>
      </w:r>
    </w:p>
    <w:p>
      <w:pPr>
        <w:widowControl/>
        <w:tabs>
          <w:tab w:val="left" w:pos="1965"/>
        </w:tabs>
        <w:spacing w:line="360" w:lineRule="auto"/>
        <w:jc w:val="center"/>
        <w:rPr>
          <w:rFonts w:hint="eastAsia" w:ascii="仿宋" w:hAnsi="仿宋" w:eastAsia="仿宋" w:cs="仿宋"/>
          <w:b/>
          <w:color w:val="auto"/>
          <w:kern w:val="0"/>
          <w:sz w:val="32"/>
          <w:szCs w:val="32"/>
        </w:rPr>
      </w:pPr>
    </w:p>
    <w:p>
      <w:pPr>
        <w:widowControl/>
        <w:tabs>
          <w:tab w:val="left" w:pos="1965"/>
        </w:tabs>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第一章  总  则</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为贯彻落实习近平新时代中国特色社会主义思想和自治区党委政府“质量强区”决策部署，坚持“百年大计、质量第一”的方针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规范</w:t>
      </w:r>
      <w:r>
        <w:rPr>
          <w:rFonts w:hint="eastAsia" w:ascii="仿宋" w:hAnsi="仿宋" w:eastAsia="仿宋" w:cs="仿宋"/>
          <w:color w:val="auto"/>
          <w:sz w:val="32"/>
          <w:szCs w:val="32"/>
          <w:lang w:val="en-US" w:eastAsia="zh-Hans"/>
        </w:rPr>
        <w:t>内蒙古自治区智能化</w:t>
      </w:r>
      <w:r>
        <w:rPr>
          <w:rFonts w:hint="eastAsia" w:ascii="仿宋" w:hAnsi="仿宋" w:eastAsia="仿宋" w:cs="仿宋"/>
          <w:color w:val="auto"/>
          <w:sz w:val="32"/>
          <w:szCs w:val="32"/>
        </w:rPr>
        <w:t>优质工程奖评选活动，特制定本办法。</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内蒙古自治区智能化优质工程由内蒙古自治区建筑业协会</w:t>
      </w:r>
      <w:r>
        <w:rPr>
          <w:rFonts w:hint="eastAsia" w:ascii="仿宋" w:hAnsi="仿宋" w:eastAsia="仿宋" w:cs="仿宋"/>
          <w:color w:val="auto"/>
          <w:sz w:val="32"/>
          <w:szCs w:val="32"/>
          <w:lang w:eastAsia="zh-CN"/>
        </w:rPr>
        <w:t>委托</w:t>
      </w:r>
      <w:r>
        <w:rPr>
          <w:rFonts w:hint="eastAsia" w:ascii="仿宋" w:hAnsi="仿宋" w:eastAsia="仿宋" w:cs="仿宋"/>
          <w:color w:val="auto"/>
          <w:sz w:val="32"/>
          <w:szCs w:val="32"/>
        </w:rPr>
        <w:t>内蒙古自治区建筑业协会</w:t>
      </w:r>
      <w:r>
        <w:rPr>
          <w:rFonts w:hint="eastAsia" w:ascii="仿宋" w:hAnsi="仿宋" w:eastAsia="仿宋" w:cs="仿宋"/>
          <w:color w:val="auto"/>
          <w:sz w:val="32"/>
          <w:szCs w:val="32"/>
          <w:lang w:eastAsia="zh-CN"/>
        </w:rPr>
        <w:t>绿色建造与智能化分会</w:t>
      </w:r>
      <w:r>
        <w:rPr>
          <w:rFonts w:hint="eastAsia" w:ascii="仿宋" w:hAnsi="仿宋" w:eastAsia="仿宋" w:cs="仿宋"/>
          <w:color w:val="auto"/>
          <w:sz w:val="32"/>
          <w:szCs w:val="32"/>
        </w:rPr>
        <w:t>（以下简称“我会”）</w:t>
      </w:r>
      <w:r>
        <w:rPr>
          <w:rFonts w:hint="eastAsia" w:ascii="仿宋" w:hAnsi="仿宋" w:eastAsia="仿宋" w:cs="仿宋"/>
          <w:color w:val="auto"/>
          <w:sz w:val="32"/>
          <w:szCs w:val="32"/>
          <w:lang w:eastAsia="zh-CN"/>
        </w:rPr>
        <w:t>具体</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实施</w:t>
      </w:r>
      <w:r>
        <w:rPr>
          <w:rFonts w:hint="eastAsia" w:ascii="仿宋" w:hAnsi="仿宋" w:eastAsia="仿宋" w:cs="仿宋"/>
          <w:color w:val="auto"/>
          <w:sz w:val="32"/>
          <w:szCs w:val="32"/>
        </w:rPr>
        <w:t>，每年</w:t>
      </w:r>
      <w:r>
        <w:rPr>
          <w:rFonts w:hint="eastAsia" w:ascii="仿宋" w:hAnsi="仿宋" w:eastAsia="仿宋" w:cs="仿宋"/>
          <w:color w:val="auto"/>
          <w:sz w:val="32"/>
          <w:szCs w:val="32"/>
          <w:lang w:eastAsia="zh-CN"/>
        </w:rPr>
        <w:t>评选</w:t>
      </w:r>
      <w:r>
        <w:rPr>
          <w:rFonts w:hint="eastAsia" w:ascii="仿宋" w:hAnsi="仿宋" w:eastAsia="仿宋" w:cs="仿宋"/>
          <w:color w:val="auto"/>
          <w:sz w:val="32"/>
          <w:szCs w:val="32"/>
        </w:rPr>
        <w:t>一次。</w:t>
      </w:r>
    </w:p>
    <w:p>
      <w:pPr>
        <w:spacing w:line="360" w:lineRule="auto"/>
        <w:ind w:firstLine="643" w:firstLineChars="200"/>
        <w:rPr>
          <w:rFonts w:hint="eastAsia" w:ascii="仿宋" w:hAnsi="仿宋" w:eastAsia="仿宋" w:cs="仿宋"/>
          <w:color w:val="auto"/>
          <w:kern w:val="0"/>
          <w:sz w:val="32"/>
          <w:szCs w:val="32"/>
        </w:rPr>
      </w:pPr>
      <w:r>
        <w:rPr>
          <w:rFonts w:hint="eastAsia" w:ascii="仿宋" w:hAnsi="仿宋" w:eastAsia="仿宋" w:cs="仿宋"/>
          <w:b/>
          <w:color w:val="auto"/>
          <w:sz w:val="32"/>
          <w:szCs w:val="32"/>
        </w:rPr>
        <w:t>第三条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内蒙古自治区智能化优质工程评选本着“设计合理、功能完善、施工规范、节能高效、安全便利”的原则。</w:t>
      </w:r>
      <w:r>
        <w:rPr>
          <w:rFonts w:hint="eastAsia" w:ascii="仿宋" w:hAnsi="仿宋" w:eastAsia="仿宋" w:cs="仿宋"/>
          <w:color w:val="auto"/>
          <w:kern w:val="0"/>
          <w:sz w:val="32"/>
          <w:szCs w:val="32"/>
        </w:rPr>
        <w:t>评选工作以智能化系统施工工艺及技术创新、系统运行良好、取得社会经济效益、节能策略为主。</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评选依据：《智能建筑设计标准》（GB/T50314—2015）</w:t>
      </w:r>
      <w:r>
        <w:rPr>
          <w:rFonts w:hint="eastAsia" w:ascii="仿宋" w:hAnsi="仿宋" w:eastAsia="仿宋" w:cs="仿宋"/>
          <w:color w:val="auto"/>
          <w:sz w:val="32"/>
          <w:szCs w:val="32"/>
          <w:lang w:eastAsia="zh-CN"/>
        </w:rPr>
        <w:t>、《智能建筑工程质量验收规范》（GB</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50339-2016）</w:t>
      </w:r>
      <w:r>
        <w:rPr>
          <w:rFonts w:hint="eastAsia" w:ascii="仿宋" w:hAnsi="仿宋" w:eastAsia="仿宋" w:cs="仿宋"/>
          <w:color w:val="auto"/>
          <w:sz w:val="32"/>
          <w:szCs w:val="32"/>
        </w:rPr>
        <w:t>、《智能建筑工程质量验收规范》（GB</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50339-2013）</w:t>
      </w:r>
      <w:r>
        <w:rPr>
          <w:rFonts w:hint="eastAsia" w:ascii="仿宋" w:hAnsi="仿宋" w:eastAsia="仿宋" w:cs="仿宋"/>
          <w:color w:val="auto"/>
          <w:sz w:val="32"/>
          <w:szCs w:val="32"/>
          <w:lang w:eastAsia="zh-CN"/>
        </w:rPr>
        <w:t>、《综合布线系统工程设计规范》（GB 50311-2016）、《综合布线系统工程验收规范》（GBT 50312-2016）、</w:t>
      </w:r>
      <w:r>
        <w:rPr>
          <w:rFonts w:hint="eastAsia" w:ascii="仿宋" w:hAnsi="仿宋" w:eastAsia="仿宋" w:cs="仿宋"/>
          <w:color w:val="auto"/>
          <w:sz w:val="32"/>
          <w:szCs w:val="32"/>
        </w:rPr>
        <w:t>《安全防范工程技术标准》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50348-2018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《视频安防监控系统工程设计规范》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GB 50395-2007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等国家标准</w:t>
      </w:r>
      <w:r>
        <w:rPr>
          <w:rFonts w:hint="eastAsia" w:ascii="仿宋" w:hAnsi="仿宋" w:eastAsia="仿宋" w:cs="仿宋"/>
          <w:color w:val="auto"/>
          <w:sz w:val="32"/>
          <w:szCs w:val="32"/>
          <w:lang w:eastAsia="zh-CN"/>
        </w:rPr>
        <w:t>及地方相关规范</w:t>
      </w:r>
      <w:r>
        <w:rPr>
          <w:rFonts w:hint="eastAsia" w:ascii="仿宋" w:hAnsi="仿宋" w:eastAsia="仿宋" w:cs="仿宋"/>
          <w:color w:val="auto"/>
          <w:sz w:val="32"/>
          <w:szCs w:val="32"/>
        </w:rPr>
        <w:t>。</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第五条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凡我会会员单位，具有</w:t>
      </w:r>
      <w:r>
        <w:rPr>
          <w:rFonts w:hint="eastAsia" w:ascii="仿宋" w:hAnsi="仿宋" w:eastAsia="仿宋" w:cs="仿宋"/>
          <w:color w:val="auto"/>
          <w:sz w:val="32"/>
          <w:szCs w:val="32"/>
          <w:lang w:val="en-US" w:eastAsia="zh-Hans"/>
        </w:rPr>
        <w:t>建筑机电工程专业承包（</w:t>
      </w:r>
      <w:r>
        <w:rPr>
          <w:rFonts w:hint="eastAsia" w:ascii="仿宋" w:hAnsi="仿宋" w:eastAsia="仿宋" w:cs="仿宋"/>
          <w:color w:val="auto"/>
          <w:sz w:val="32"/>
          <w:szCs w:val="32"/>
          <w:lang w:eastAsia="zh-Hans"/>
        </w:rPr>
        <w:t>电子与智能化工程专业承包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建筑机电安装工程专业承包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城市及道路照明工程专业承包</w:t>
      </w:r>
      <w:r>
        <w:rPr>
          <w:rFonts w:hint="eastAsia" w:ascii="仿宋" w:hAnsi="仿宋" w:eastAsia="仿宋" w:cs="仿宋"/>
          <w:color w:val="auto"/>
          <w:sz w:val="32"/>
          <w:szCs w:val="32"/>
          <w:lang w:val="en-US" w:eastAsia="zh-Hans"/>
        </w:rPr>
        <w:t>）</w:t>
      </w:r>
      <w:r>
        <w:rPr>
          <w:rFonts w:hint="eastAsia" w:ascii="仿宋" w:hAnsi="仿宋" w:eastAsia="仿宋" w:cs="仿宋"/>
          <w:color w:val="auto"/>
          <w:sz w:val="32"/>
          <w:szCs w:val="32"/>
        </w:rPr>
        <w:t>及通信施工等相关资质的单位均可单独申报。</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第六条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评选工作坚持科学、公开、公平、公正的原则，评选结果将在内蒙古自治区建筑业协会</w:t>
      </w:r>
      <w:r>
        <w:rPr>
          <w:rFonts w:hint="eastAsia" w:ascii="仿宋" w:hAnsi="仿宋" w:eastAsia="仿宋" w:cs="仿宋"/>
          <w:color w:val="auto"/>
          <w:sz w:val="32"/>
          <w:szCs w:val="32"/>
          <w:lang w:eastAsia="zh-CN"/>
        </w:rPr>
        <w:t>媒体平台</w:t>
      </w:r>
      <w:r>
        <w:rPr>
          <w:rFonts w:hint="eastAsia" w:ascii="仿宋" w:hAnsi="仿宋" w:eastAsia="仿宋" w:cs="仿宋"/>
          <w:color w:val="auto"/>
          <w:sz w:val="32"/>
          <w:szCs w:val="32"/>
        </w:rPr>
        <w:t>公布。</w:t>
      </w:r>
    </w:p>
    <w:p>
      <w:pPr>
        <w:spacing w:line="360" w:lineRule="auto"/>
        <w:ind w:firstLine="560"/>
        <w:rPr>
          <w:rFonts w:hint="eastAsia" w:ascii="仿宋" w:hAnsi="仿宋" w:eastAsia="仿宋" w:cs="仿宋"/>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第二章  评选范围</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内蒙古自治区智能化优质工程评选工程类型包括：新建、改建、扩建公共建筑和居住建筑类</w:t>
      </w:r>
      <w:r>
        <w:rPr>
          <w:rFonts w:hint="eastAsia" w:ascii="仿宋" w:hAnsi="仿宋" w:eastAsia="仿宋" w:cs="仿宋"/>
          <w:color w:val="auto"/>
          <w:sz w:val="32"/>
          <w:szCs w:val="32"/>
          <w:lang w:val="en-US" w:eastAsia="zh-Hans"/>
        </w:rPr>
        <w:t>工程及相关智能化工程</w:t>
      </w:r>
      <w:r>
        <w:rPr>
          <w:rFonts w:hint="eastAsia" w:ascii="仿宋" w:hAnsi="仿宋" w:eastAsia="仿宋" w:cs="仿宋"/>
          <w:color w:val="auto"/>
          <w:sz w:val="32"/>
          <w:szCs w:val="32"/>
        </w:rPr>
        <w:t>。</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第八条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工程规模：</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（一）公共建筑类智能化工程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Hans"/>
        </w:rPr>
        <w:t>绿色建造、</w:t>
      </w:r>
      <w:r>
        <w:rPr>
          <w:rFonts w:hint="eastAsia" w:ascii="仿宋" w:hAnsi="仿宋" w:eastAsia="仿宋" w:cs="仿宋"/>
          <w:color w:val="auto"/>
          <w:sz w:val="32"/>
          <w:szCs w:val="32"/>
        </w:rPr>
        <w:t>保护自然资源和生态环境、节能减排以及智能化系统建设等方面有技术创新优势，其综合技术指标优于</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内同类工程，且工程造价在500万（含）元以上，</w:t>
      </w:r>
      <w:r>
        <w:rPr>
          <w:rFonts w:hint="eastAsia" w:ascii="仿宋" w:hAnsi="仿宋" w:eastAsia="仿宋" w:cs="仿宋"/>
          <w:color w:val="auto"/>
          <w:sz w:val="32"/>
          <w:szCs w:val="32"/>
          <w:lang w:val="en-US" w:eastAsia="zh-Hans"/>
        </w:rPr>
        <w:t>具备</w:t>
      </w:r>
      <w:r>
        <w:rPr>
          <w:rFonts w:hint="eastAsia" w:ascii="仿宋" w:hAnsi="仿宋" w:eastAsia="仿宋" w:cs="仿宋"/>
          <w:color w:val="auto"/>
          <w:sz w:val="32"/>
          <w:szCs w:val="32"/>
        </w:rPr>
        <w:t>以下智能化</w:t>
      </w:r>
      <w:r>
        <w:rPr>
          <w:rFonts w:hint="eastAsia" w:ascii="仿宋" w:hAnsi="仿宋" w:eastAsia="仿宋" w:cs="仿宋"/>
          <w:color w:val="auto"/>
          <w:sz w:val="32"/>
          <w:szCs w:val="32"/>
          <w:lang w:val="en-US" w:eastAsia="zh-Hans"/>
        </w:rPr>
        <w:t>分</w:t>
      </w:r>
      <w:r>
        <w:rPr>
          <w:rFonts w:hint="eastAsia" w:ascii="仿宋" w:hAnsi="仿宋" w:eastAsia="仿宋" w:cs="仿宋"/>
          <w:color w:val="auto"/>
          <w:sz w:val="32"/>
          <w:szCs w:val="32"/>
        </w:rPr>
        <w:t>系统：</w:t>
      </w:r>
      <w:r>
        <w:rPr>
          <w:rFonts w:hint="eastAsia" w:ascii="仿宋" w:hAnsi="仿宋" w:eastAsia="仿宋" w:cs="仿宋"/>
          <w:color w:val="auto"/>
          <w:sz w:val="32"/>
          <w:szCs w:val="32"/>
          <w:lang w:val="en-US" w:eastAsia="zh-Hans"/>
        </w:rPr>
        <w:t>智能</w:t>
      </w:r>
      <w:r>
        <w:rPr>
          <w:rFonts w:hint="eastAsia" w:ascii="仿宋" w:hAnsi="仿宋" w:eastAsia="仿宋" w:cs="仿宋"/>
          <w:color w:val="auto"/>
          <w:sz w:val="32"/>
          <w:szCs w:val="32"/>
        </w:rPr>
        <w:t>管网</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综合布线系统；计算机网络系统；电话交换系统；建筑设备监控系统；安全防范系统；公共广播系统；智能照明系统；智能卡应用系统；防雷接地系统；有线电视及卫星电视接收系统；能源</w:t>
      </w:r>
      <w:r>
        <w:rPr>
          <w:rFonts w:hint="eastAsia" w:ascii="仿宋" w:hAnsi="仿宋" w:eastAsia="仿宋" w:cs="仿宋"/>
          <w:color w:val="auto"/>
          <w:sz w:val="32"/>
          <w:szCs w:val="32"/>
          <w:lang w:val="en-US" w:eastAsia="zh-Hans"/>
        </w:rPr>
        <w:t>计量</w:t>
      </w:r>
      <w:r>
        <w:rPr>
          <w:rFonts w:hint="eastAsia" w:ascii="仿宋" w:hAnsi="仿宋" w:eastAsia="仿宋" w:cs="仿宋"/>
          <w:color w:val="auto"/>
          <w:sz w:val="32"/>
          <w:szCs w:val="32"/>
        </w:rPr>
        <w:t>测量与管理系统；智能化集成系统；物业运营管理系统；机房工程、建筑设备监控系统；信息导引及发布系统；会议系统；室内移动通讯覆盖系统</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舞台灯光音响系统；智慧平台建设</w:t>
      </w:r>
      <w:r>
        <w:rPr>
          <w:rFonts w:hint="eastAsia" w:ascii="仿宋" w:hAnsi="仿宋" w:eastAsia="仿宋" w:cs="仿宋"/>
          <w:color w:val="auto"/>
          <w:sz w:val="32"/>
          <w:szCs w:val="32"/>
        </w:rPr>
        <w:t>等。</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（二）住宅建筑（住宅小区含高层型住宅小区和别墅型住宅小区），在</w:t>
      </w:r>
      <w:r>
        <w:rPr>
          <w:rFonts w:hint="eastAsia" w:ascii="仿宋" w:hAnsi="仿宋" w:eastAsia="仿宋" w:cs="仿宋"/>
          <w:color w:val="auto"/>
          <w:sz w:val="32"/>
          <w:szCs w:val="32"/>
          <w:lang w:val="en-US" w:eastAsia="zh-Hans"/>
        </w:rPr>
        <w:t>绿色建造、</w:t>
      </w:r>
      <w:r>
        <w:rPr>
          <w:rFonts w:hint="eastAsia" w:ascii="仿宋" w:hAnsi="仿宋" w:eastAsia="仿宋" w:cs="仿宋"/>
          <w:color w:val="auto"/>
          <w:sz w:val="32"/>
          <w:szCs w:val="32"/>
        </w:rPr>
        <w:t>保护自然资源和生态环境、节能减排以及智能化系统建设等方面有技术创新优势，其综合技术指标优于</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内同类工程，智能化工程造价在200（含）万元以上，</w:t>
      </w:r>
      <w:r>
        <w:rPr>
          <w:rFonts w:hint="eastAsia" w:ascii="仿宋" w:hAnsi="仿宋" w:eastAsia="仿宋" w:cs="仿宋"/>
          <w:color w:val="auto"/>
          <w:sz w:val="32"/>
          <w:szCs w:val="32"/>
          <w:lang w:val="en-US" w:eastAsia="zh-Hans"/>
        </w:rPr>
        <w:t>具备</w:t>
      </w:r>
      <w:r>
        <w:rPr>
          <w:rFonts w:hint="eastAsia" w:ascii="仿宋" w:hAnsi="仿宋" w:eastAsia="仿宋" w:cs="仿宋"/>
          <w:color w:val="auto"/>
          <w:sz w:val="32"/>
          <w:szCs w:val="32"/>
        </w:rPr>
        <w:t>以下智能化</w:t>
      </w:r>
      <w:r>
        <w:rPr>
          <w:rFonts w:hint="eastAsia" w:ascii="仿宋" w:hAnsi="仿宋" w:eastAsia="仿宋" w:cs="仿宋"/>
          <w:color w:val="auto"/>
          <w:sz w:val="32"/>
          <w:szCs w:val="32"/>
          <w:lang w:val="en-US" w:eastAsia="zh-Hans"/>
        </w:rPr>
        <w:t>分</w:t>
      </w:r>
      <w:r>
        <w:rPr>
          <w:rFonts w:hint="eastAsia" w:ascii="仿宋" w:hAnsi="仿宋" w:eastAsia="仿宋" w:cs="仿宋"/>
          <w:color w:val="auto"/>
          <w:sz w:val="32"/>
          <w:szCs w:val="32"/>
        </w:rPr>
        <w:t>系统：通信管网、综合布线系统；计算机网络系统（含电话交换系统）；安全防范系统；公共广播系统；能源</w:t>
      </w:r>
      <w:r>
        <w:rPr>
          <w:rFonts w:hint="eastAsia" w:ascii="仿宋" w:hAnsi="仿宋" w:eastAsia="仿宋" w:cs="仿宋"/>
          <w:color w:val="auto"/>
          <w:sz w:val="32"/>
          <w:szCs w:val="32"/>
          <w:lang w:val="en-US" w:eastAsia="zh-Hans"/>
        </w:rPr>
        <w:t>计量</w:t>
      </w:r>
      <w:r>
        <w:rPr>
          <w:rFonts w:hint="eastAsia" w:ascii="仿宋" w:hAnsi="仿宋" w:eastAsia="仿宋" w:cs="仿宋"/>
          <w:color w:val="auto"/>
          <w:sz w:val="32"/>
          <w:szCs w:val="32"/>
        </w:rPr>
        <w:t>测量与管理系统；物业运营管理系统；机房工程、建筑设备监控系统；可视对讲系统；智能家居系统；信息导引及发布系统等。</w:t>
      </w:r>
    </w:p>
    <w:p>
      <w:pPr>
        <w:spacing w:line="360" w:lineRule="auto"/>
        <w:ind w:firstLine="5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（三）其他类：</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Hans"/>
        </w:rPr>
        <w:t>绿色建造、</w:t>
      </w:r>
      <w:r>
        <w:rPr>
          <w:rFonts w:hint="eastAsia" w:ascii="仿宋" w:hAnsi="仿宋" w:eastAsia="仿宋" w:cs="仿宋"/>
          <w:color w:val="auto"/>
          <w:sz w:val="32"/>
          <w:szCs w:val="32"/>
        </w:rPr>
        <w:t>保护自然资源和生态环境、节能减排以及智能化系统建设等方面有技术创新优势，其综合技术指标优于</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内同类工程，智能化工程造价在200（含）万元以上，</w:t>
      </w:r>
      <w:r>
        <w:rPr>
          <w:rFonts w:hint="eastAsia" w:ascii="仿宋" w:hAnsi="仿宋" w:eastAsia="仿宋" w:cs="仿宋"/>
          <w:color w:val="auto"/>
          <w:sz w:val="32"/>
          <w:szCs w:val="32"/>
          <w:lang w:val="en-US" w:eastAsia="zh-Hans"/>
        </w:rPr>
        <w:t>具备</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rPr>
        <w:t>智能化</w:t>
      </w:r>
      <w:r>
        <w:rPr>
          <w:rFonts w:hint="eastAsia" w:ascii="仿宋" w:hAnsi="仿宋" w:eastAsia="仿宋" w:cs="仿宋"/>
          <w:color w:val="auto"/>
          <w:sz w:val="32"/>
          <w:szCs w:val="32"/>
          <w:lang w:val="en-US" w:eastAsia="zh-Hans"/>
        </w:rPr>
        <w:t>分</w:t>
      </w:r>
      <w:r>
        <w:rPr>
          <w:rFonts w:hint="eastAsia" w:ascii="仿宋" w:hAnsi="仿宋" w:eastAsia="仿宋" w:cs="仿宋"/>
          <w:color w:val="auto"/>
          <w:sz w:val="32"/>
          <w:szCs w:val="32"/>
        </w:rPr>
        <w:t>系统。</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第九条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不列入评选范围的工程：</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（一）发生较大质量、安全事故的工程；</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（二）保密工程；</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（三）有拖欠工程款和农民工工资的工程；</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（四）存在用户（业主）投诉且经查实的工程。</w:t>
      </w: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第三章  申报条件</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申报内蒙古自治区智能化优质工程，应具备以下条件：</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（一）申报单位应具有</w:t>
      </w:r>
      <w:r>
        <w:rPr>
          <w:rFonts w:hint="eastAsia" w:ascii="仿宋" w:hAnsi="仿宋" w:eastAsia="仿宋" w:cs="仿宋"/>
          <w:color w:val="auto"/>
          <w:sz w:val="32"/>
          <w:szCs w:val="32"/>
          <w:lang w:val="en-US" w:eastAsia="zh-Hans"/>
        </w:rPr>
        <w:t>建筑机电工程专业承包（</w:t>
      </w:r>
      <w:r>
        <w:rPr>
          <w:rFonts w:hint="eastAsia" w:ascii="仿宋" w:hAnsi="仿宋" w:eastAsia="仿宋" w:cs="仿宋"/>
          <w:color w:val="auto"/>
          <w:sz w:val="32"/>
          <w:szCs w:val="32"/>
          <w:lang w:eastAsia="zh-Hans"/>
        </w:rPr>
        <w:t>电子与智能化工程专业承包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建筑机电安装工程专业承包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城市及道路照明工程专业承包</w:t>
      </w:r>
      <w:r>
        <w:rPr>
          <w:rFonts w:hint="eastAsia" w:ascii="仿宋" w:hAnsi="仿宋" w:eastAsia="仿宋" w:cs="仿宋"/>
          <w:color w:val="auto"/>
          <w:sz w:val="32"/>
          <w:szCs w:val="32"/>
          <w:lang w:val="en-US" w:eastAsia="zh-Hans"/>
        </w:rPr>
        <w:t>）</w:t>
      </w:r>
      <w:r>
        <w:rPr>
          <w:rFonts w:hint="eastAsia" w:ascii="仿宋" w:hAnsi="仿宋" w:eastAsia="仿宋" w:cs="仿宋"/>
          <w:color w:val="auto"/>
          <w:sz w:val="32"/>
          <w:szCs w:val="32"/>
        </w:rPr>
        <w:t xml:space="preserve">及通信施工等相关资质和安全生产许可证书。  </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（二）智能化工程施工符合国家和地方相关智能建筑设计、施工标准及规范的要求，工程质量达到国家和地方相关验收技术标准和验收规范的要求。</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三）根据工程设计文件和合同技术文件，已完成系统的全部设备安装和调试工作；竣工验收工作已经完成，工程质量达到合格，已经办理工程竣工验收备案手续（如新建工程按整体工程竣工验收备案手续为准）。</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（四）建筑智能化系统竣工验收后，投入使用并连续运行三个月以上，没有发生质量问题或隐患，无质量投诉，有用户意见。</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（五）申报项目竣工验收的时间要求在三年以内，历年已参评项目不得重复申报。</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第十一条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申报工作可由工程的施工单位单独申报，也可联合申报，但每项工程只能由一个主要单位申报，</w:t>
      </w:r>
      <w:r>
        <w:rPr>
          <w:rFonts w:hint="eastAsia" w:ascii="仿宋" w:hAnsi="仿宋" w:eastAsia="仿宋" w:cs="仿宋"/>
          <w:color w:val="auto"/>
          <w:sz w:val="32"/>
          <w:szCs w:val="32"/>
          <w:lang w:eastAsia="zh-CN"/>
        </w:rPr>
        <w:t>参与工程建设</w:t>
      </w:r>
      <w:r>
        <w:rPr>
          <w:rFonts w:hint="eastAsia" w:ascii="仿宋" w:hAnsi="仿宋" w:eastAsia="仿宋" w:cs="仿宋"/>
          <w:color w:val="auto"/>
          <w:sz w:val="32"/>
          <w:szCs w:val="32"/>
          <w:lang w:val="en-US" w:eastAsia="zh-CN"/>
        </w:rPr>
        <w:t>的建设、设计、监理单位可</w:t>
      </w:r>
      <w:r>
        <w:rPr>
          <w:rFonts w:hint="eastAsia" w:ascii="仿宋" w:hAnsi="仿宋" w:eastAsia="仿宋" w:cs="仿宋"/>
          <w:color w:val="auto"/>
          <w:sz w:val="32"/>
          <w:szCs w:val="32"/>
          <w:lang w:val="en-US" w:eastAsia="zh-Hans"/>
        </w:rPr>
        <w:t>作为参建单位</w:t>
      </w:r>
      <w:r>
        <w:rPr>
          <w:rFonts w:hint="eastAsia" w:ascii="仿宋" w:hAnsi="仿宋" w:eastAsia="仿宋" w:cs="仿宋"/>
          <w:color w:val="auto"/>
          <w:sz w:val="32"/>
          <w:szCs w:val="32"/>
          <w:lang w:val="en-US" w:eastAsia="zh-CN"/>
        </w:rPr>
        <w:t>与主申报单位</w:t>
      </w:r>
      <w:r>
        <w:rPr>
          <w:rFonts w:hint="eastAsia" w:ascii="仿宋" w:hAnsi="仿宋" w:eastAsia="仿宋" w:cs="仿宋"/>
          <w:color w:val="auto"/>
          <w:sz w:val="32"/>
          <w:szCs w:val="32"/>
          <w:lang w:val="en-US" w:eastAsia="zh-Hans"/>
        </w:rPr>
        <w:t>联合申报</w:t>
      </w:r>
      <w:r>
        <w:rPr>
          <w:rFonts w:hint="eastAsia" w:ascii="仿宋" w:hAnsi="仿宋" w:eastAsia="仿宋" w:cs="仿宋"/>
          <w:color w:val="auto"/>
          <w:sz w:val="32"/>
          <w:szCs w:val="32"/>
          <w:lang w:val="en-US" w:eastAsia="zh-CN"/>
        </w:rPr>
        <w:t>，并单独提交含</w:t>
      </w:r>
      <w:r>
        <w:rPr>
          <w:rFonts w:hint="eastAsia" w:ascii="仿宋" w:hAnsi="仿宋" w:eastAsia="仿宋" w:cs="仿宋"/>
          <w:color w:val="auto"/>
          <w:sz w:val="32"/>
          <w:szCs w:val="32"/>
          <w:lang w:eastAsia="zh-CN"/>
        </w:rPr>
        <w:t>承担的工作内容和工程相关创优经验介绍（</w:t>
      </w:r>
      <w:r>
        <w:rPr>
          <w:rFonts w:hint="eastAsia" w:ascii="仿宋" w:hAnsi="仿宋" w:eastAsia="仿宋" w:cs="仿宋"/>
          <w:color w:val="auto"/>
          <w:sz w:val="32"/>
          <w:szCs w:val="32"/>
          <w:lang w:val="en-US" w:eastAsia="zh-CN"/>
        </w:rPr>
        <w:t>2000字左右</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申报表、营业执照、企业资质证书、工程有关合同复印件、文件等证明材料</w:t>
      </w:r>
      <w:r>
        <w:rPr>
          <w:rFonts w:hint="eastAsia" w:ascii="仿宋" w:hAnsi="仿宋" w:eastAsia="仿宋" w:cs="仿宋"/>
          <w:color w:val="auto"/>
          <w:sz w:val="32"/>
          <w:szCs w:val="32"/>
        </w:rPr>
        <w:t>。</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联合申报的单位须具备以下条件：</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（一）与建设单位或</w:t>
      </w:r>
      <w:r>
        <w:rPr>
          <w:rFonts w:hint="eastAsia" w:ascii="仿宋" w:hAnsi="仿宋" w:eastAsia="仿宋" w:cs="仿宋"/>
          <w:color w:val="auto"/>
          <w:sz w:val="32"/>
          <w:szCs w:val="32"/>
          <w:lang w:eastAsia="zh-CN"/>
        </w:rPr>
        <w:t>施工单位</w:t>
      </w:r>
      <w:r>
        <w:rPr>
          <w:rFonts w:hint="eastAsia" w:ascii="仿宋" w:hAnsi="仿宋" w:eastAsia="仿宋" w:cs="仿宋"/>
          <w:color w:val="auto"/>
          <w:sz w:val="32"/>
          <w:szCs w:val="32"/>
        </w:rPr>
        <w:t>签订合同；</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Hans"/>
        </w:rPr>
        <w:t>二</w:t>
      </w:r>
      <w:r>
        <w:rPr>
          <w:rFonts w:hint="eastAsia" w:ascii="仿宋" w:hAnsi="仿宋" w:eastAsia="仿宋" w:cs="仿宋"/>
          <w:color w:val="auto"/>
          <w:sz w:val="32"/>
          <w:szCs w:val="32"/>
        </w:rPr>
        <w:t>）完成的工程的质量全部达到合格。</w:t>
      </w:r>
    </w:p>
    <w:p>
      <w:pPr>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第十二条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近两年内发生过重大质量事故，受到建设行政主管部门通报批评或资质降级处罚的单位，没有申报资格。</w:t>
      </w:r>
    </w:p>
    <w:p>
      <w:pPr>
        <w:spacing w:line="360" w:lineRule="auto"/>
        <w:jc w:val="center"/>
        <w:rPr>
          <w:rFonts w:hint="eastAsia" w:ascii="仿宋" w:hAnsi="仿宋" w:eastAsia="仿宋" w:cs="仿宋"/>
          <w:b/>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第四章  申报程序和申报材料</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第十三条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 xml:space="preserve">申报程序： </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（一）申报单位根据评选范围和申报条件，</w:t>
      </w:r>
      <w:r>
        <w:rPr>
          <w:rFonts w:hint="eastAsia" w:ascii="仿宋" w:hAnsi="仿宋" w:eastAsia="仿宋" w:cs="仿宋"/>
          <w:i w:val="0"/>
          <w:caps w:val="0"/>
          <w:color w:val="auto"/>
          <w:spacing w:val="0"/>
          <w:sz w:val="32"/>
          <w:szCs w:val="32"/>
          <w:shd w:val="clear"/>
        </w:rPr>
        <w:t>点击“快捷服务”栏中的“争先创优”按钮，进入申报系统，完成注册后登录进入系统点击争先创优—创优申报—选择“内蒙古自治区</w:t>
      </w:r>
      <w:r>
        <w:rPr>
          <w:rFonts w:hint="eastAsia" w:ascii="仿宋" w:hAnsi="仿宋" w:eastAsia="仿宋" w:cs="仿宋"/>
          <w:i w:val="0"/>
          <w:caps w:val="0"/>
          <w:color w:val="auto"/>
          <w:spacing w:val="0"/>
          <w:sz w:val="32"/>
          <w:szCs w:val="32"/>
          <w:shd w:val="clear"/>
          <w:lang w:eastAsia="zh-CN"/>
        </w:rPr>
        <w:t>智能化优质工程</w:t>
      </w:r>
      <w:r>
        <w:rPr>
          <w:rFonts w:hint="eastAsia" w:ascii="仿宋" w:hAnsi="仿宋" w:eastAsia="仿宋" w:cs="仿宋"/>
          <w:i w:val="0"/>
          <w:caps w:val="0"/>
          <w:color w:val="auto"/>
          <w:spacing w:val="0"/>
          <w:sz w:val="32"/>
          <w:szCs w:val="32"/>
          <w:shd w:val="clear"/>
        </w:rPr>
        <w:t>”查看评选活动，根据流程进行申报（详见附件3）</w:t>
      </w:r>
      <w:r>
        <w:rPr>
          <w:rFonts w:hint="eastAsia" w:ascii="仿宋" w:hAnsi="仿宋" w:eastAsia="仿宋" w:cs="仿宋"/>
          <w:color w:val="auto"/>
          <w:sz w:val="32"/>
          <w:szCs w:val="32"/>
        </w:rPr>
        <w:t xml:space="preserve">； </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（二）网上申报成功后，打印</w:t>
      </w:r>
      <w:r>
        <w:rPr>
          <w:rFonts w:hint="eastAsia" w:ascii="仿宋" w:hAnsi="仿宋" w:eastAsia="仿宋" w:cs="仿宋"/>
          <w:color w:val="auto"/>
          <w:sz w:val="32"/>
          <w:szCs w:val="32"/>
          <w:lang w:eastAsia="zh-CN"/>
        </w:rPr>
        <w:t>申报表</w:t>
      </w:r>
      <w:r>
        <w:rPr>
          <w:rFonts w:hint="eastAsia" w:ascii="仿宋" w:hAnsi="仿宋" w:eastAsia="仿宋" w:cs="仿宋"/>
          <w:color w:val="auto"/>
          <w:sz w:val="32"/>
          <w:szCs w:val="32"/>
        </w:rPr>
        <w:t>并加盖本单位及推荐单位公章后，报送至我会。</w:t>
      </w:r>
    </w:p>
    <w:p>
      <w:pPr>
        <w:spacing w:line="360" w:lineRule="auto"/>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第十四条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申报资料的内容和要求</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（一）申报资料内容：</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1、申报资料的总目录；</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2、《内蒙古自治区智能化优质工程奖申报表》申报表； </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3、企业营业执照、资质证明、相关许可证的复印件一份 (企业盖章有效)；</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4、该工程建造师（项目经理）证书复印件一份（机电</w:t>
      </w:r>
      <w:r>
        <w:rPr>
          <w:rFonts w:hint="eastAsia" w:ascii="仿宋" w:hAnsi="仿宋" w:eastAsia="仿宋" w:cs="仿宋"/>
          <w:color w:val="auto"/>
          <w:sz w:val="32"/>
          <w:szCs w:val="32"/>
          <w:lang w:val="en-US" w:eastAsia="zh-Hans"/>
        </w:rPr>
        <w:t>工程</w:t>
      </w:r>
      <w:r>
        <w:rPr>
          <w:rFonts w:hint="eastAsia" w:ascii="仿宋" w:hAnsi="仿宋" w:eastAsia="仿宋" w:cs="仿宋"/>
          <w:color w:val="auto"/>
          <w:sz w:val="32"/>
          <w:szCs w:val="32"/>
        </w:rPr>
        <w:t>专业或通信</w:t>
      </w:r>
      <w:r>
        <w:rPr>
          <w:rFonts w:hint="eastAsia" w:ascii="仿宋" w:hAnsi="仿宋" w:eastAsia="仿宋" w:cs="仿宋"/>
          <w:color w:val="auto"/>
          <w:sz w:val="32"/>
          <w:szCs w:val="32"/>
          <w:lang w:val="en-US" w:eastAsia="zh-Hans"/>
        </w:rPr>
        <w:t>与</w:t>
      </w:r>
      <w:r>
        <w:rPr>
          <w:rFonts w:hint="eastAsia" w:ascii="仿宋" w:hAnsi="仿宋" w:eastAsia="仿宋" w:cs="仿宋"/>
          <w:color w:val="auto"/>
          <w:sz w:val="32"/>
          <w:szCs w:val="32"/>
        </w:rPr>
        <w:t>广电专业）；</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5、工程竣工验收</w:t>
      </w:r>
      <w:r>
        <w:rPr>
          <w:rFonts w:hint="eastAsia" w:ascii="仿宋" w:hAnsi="仿宋" w:eastAsia="仿宋" w:cs="仿宋"/>
          <w:color w:val="auto"/>
          <w:sz w:val="32"/>
          <w:szCs w:val="32"/>
          <w:lang w:val="en-US" w:eastAsia="zh-Hans"/>
        </w:rPr>
        <w:t>报告</w:t>
      </w:r>
      <w:r>
        <w:rPr>
          <w:rFonts w:hint="eastAsia" w:ascii="仿宋" w:hAnsi="仿宋" w:eastAsia="仿宋" w:cs="仿宋"/>
          <w:color w:val="auto"/>
          <w:sz w:val="32"/>
          <w:szCs w:val="32"/>
        </w:rPr>
        <w:t>及决算</w:t>
      </w:r>
      <w:r>
        <w:rPr>
          <w:rFonts w:hint="eastAsia" w:ascii="仿宋" w:hAnsi="仿宋" w:eastAsia="仿宋" w:cs="仿宋"/>
          <w:color w:val="auto"/>
          <w:sz w:val="32"/>
          <w:szCs w:val="32"/>
          <w:lang w:val="en-US" w:eastAsia="zh-Hans"/>
        </w:rPr>
        <w:t>定案表（盖章</w:t>
      </w:r>
      <w:r>
        <w:rPr>
          <w:rFonts w:hint="eastAsia" w:ascii="仿宋" w:hAnsi="仿宋" w:eastAsia="仿宋" w:cs="仿宋"/>
          <w:color w:val="auto"/>
          <w:sz w:val="32"/>
          <w:szCs w:val="32"/>
          <w:lang w:eastAsia="zh-Hans"/>
        </w:rPr>
        <w:t>)</w:t>
      </w:r>
      <w:r>
        <w:rPr>
          <w:rFonts w:hint="eastAsia" w:ascii="仿宋" w:hAnsi="仿宋" w:eastAsia="仿宋" w:cs="仿宋"/>
          <w:color w:val="auto"/>
          <w:sz w:val="32"/>
          <w:szCs w:val="32"/>
        </w:rPr>
        <w:t>；</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6、总承包或主承建合同书(只需提供金额及盖章相关页)；</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7、项目获奖证书复印件（企业加盖公章有效）。</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（二）对申报资料的要求</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1、申报资料必须文字清晰、字体工整、内容详实</w:t>
      </w:r>
      <w:r>
        <w:rPr>
          <w:rFonts w:hint="eastAsia" w:ascii="仿宋" w:hAnsi="仿宋" w:eastAsia="仿宋" w:cs="仿宋"/>
          <w:color w:val="auto"/>
          <w:sz w:val="32"/>
          <w:szCs w:val="32"/>
          <w:lang w:eastAsia="zh-CN"/>
        </w:rPr>
        <w:t>、不得手写</w:t>
      </w:r>
      <w:r>
        <w:rPr>
          <w:rFonts w:hint="eastAsia" w:ascii="仿宋" w:hAnsi="仿宋" w:eastAsia="仿宋" w:cs="仿宋"/>
          <w:color w:val="auto"/>
          <w:sz w:val="32"/>
          <w:szCs w:val="32"/>
        </w:rPr>
        <w:t>。</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2、所有申报项目按照“申报需提供的附件资料内容”的</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-7条的内容依次</w:t>
      </w:r>
      <w:r>
        <w:rPr>
          <w:rFonts w:hint="eastAsia" w:ascii="仿宋" w:hAnsi="仿宋" w:eastAsia="仿宋" w:cs="仿宋"/>
          <w:color w:val="auto"/>
          <w:sz w:val="32"/>
          <w:szCs w:val="32"/>
          <w:lang w:val="en-US" w:eastAsia="zh-Hans"/>
        </w:rPr>
        <w:t>附件上传</w:t>
      </w:r>
      <w:r>
        <w:rPr>
          <w:rFonts w:hint="eastAsia" w:ascii="仿宋" w:hAnsi="仿宋" w:eastAsia="仿宋" w:cs="仿宋"/>
          <w:color w:val="auto"/>
          <w:sz w:val="32"/>
          <w:szCs w:val="32"/>
        </w:rPr>
        <w:t>。</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3、申报资料必须涵盖申报工程的全部内容，其中建设地点、投资规模、建筑面积、结构类型、质量评定、工程性质和用途，以及智能化各子系统的基本情况等各方面的文字描述与工程实际情况必须一致,真实准确，如有变更，要有相应的变更手续和文件。</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color w:val="auto"/>
          <w:sz w:val="32"/>
          <w:szCs w:val="32"/>
        </w:rPr>
        <w:t>4、申报单位可同时申报多个建筑类型，要求每个申报项目单独装订成册。</w:t>
      </w:r>
    </w:p>
    <w:p>
      <w:pPr>
        <w:spacing w:line="360" w:lineRule="auto"/>
        <w:ind w:firstLine="560"/>
        <w:rPr>
          <w:rFonts w:hint="eastAsia" w:ascii="仿宋" w:hAnsi="仿宋" w:eastAsia="仿宋" w:cs="仿宋"/>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第五章  工程评审</w:t>
      </w:r>
    </w:p>
    <w:p>
      <w:pPr>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五</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评审工作包括初审、推荐、资料审查、工程复查和专家评审五个阶段。各盟市建筑业协会应按照本办法负责对申报资料的完整性、真实性进行初审，</w:t>
      </w:r>
      <w:r>
        <w:rPr>
          <w:rFonts w:hint="eastAsia" w:ascii="仿宋" w:hAnsi="仿宋" w:eastAsia="仿宋" w:cs="仿宋"/>
          <w:color w:val="auto"/>
          <w:sz w:val="32"/>
          <w:szCs w:val="32"/>
          <w:lang w:val="en-US" w:eastAsia="zh-CN"/>
        </w:rPr>
        <w:t>签署推荐意见后统一上报</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“内蒙古自治区智能化优质工程”的资料审查、工程复查</w:t>
      </w:r>
      <w:r>
        <w:rPr>
          <w:rFonts w:hint="eastAsia" w:ascii="仿宋" w:hAnsi="仿宋" w:eastAsia="仿宋" w:cs="仿宋"/>
          <w:color w:val="auto"/>
          <w:sz w:val="32"/>
          <w:szCs w:val="32"/>
          <w:lang w:eastAsia="zh-CN"/>
        </w:rPr>
        <w:t>的具体工作由</w:t>
      </w:r>
      <w:r>
        <w:rPr>
          <w:rFonts w:hint="eastAsia" w:ascii="仿宋" w:hAnsi="仿宋" w:eastAsia="仿宋" w:cs="仿宋"/>
          <w:b w:val="0"/>
          <w:bCs w:val="0"/>
          <w:color w:val="auto"/>
          <w:sz w:val="32"/>
          <w:szCs w:val="32"/>
        </w:rPr>
        <w:t>内蒙古自治区建筑业协会</w:t>
      </w:r>
      <w:r>
        <w:rPr>
          <w:rFonts w:hint="eastAsia" w:ascii="仿宋" w:hAnsi="仿宋" w:eastAsia="仿宋" w:cs="仿宋"/>
          <w:b w:val="0"/>
          <w:bCs w:val="0"/>
          <w:color w:val="auto"/>
          <w:sz w:val="32"/>
          <w:szCs w:val="32"/>
          <w:lang w:val="en-US" w:eastAsia="zh-Hans"/>
        </w:rPr>
        <w:t>绿色建造与</w:t>
      </w:r>
      <w:r>
        <w:rPr>
          <w:rFonts w:hint="eastAsia" w:ascii="仿宋" w:hAnsi="仿宋" w:eastAsia="仿宋" w:cs="仿宋"/>
          <w:b w:val="0"/>
          <w:bCs w:val="0"/>
          <w:color w:val="auto"/>
          <w:sz w:val="32"/>
          <w:szCs w:val="32"/>
          <w:lang w:eastAsia="zh-CN"/>
        </w:rPr>
        <w:t>智能化分会秘书处负责组织</w:t>
      </w:r>
      <w:r>
        <w:rPr>
          <w:rFonts w:hint="eastAsia" w:ascii="仿宋" w:hAnsi="仿宋" w:eastAsia="仿宋" w:cs="仿宋"/>
          <w:color w:val="auto"/>
          <w:sz w:val="32"/>
          <w:szCs w:val="32"/>
        </w:rPr>
        <w:t>，复查和</w:t>
      </w:r>
      <w:r>
        <w:rPr>
          <w:rFonts w:hint="eastAsia" w:ascii="仿宋" w:hAnsi="仿宋" w:eastAsia="仿宋" w:cs="仿宋"/>
          <w:color w:val="auto"/>
          <w:sz w:val="32"/>
          <w:szCs w:val="32"/>
          <w:lang w:bidi="ar"/>
        </w:rPr>
        <w:t>评审组成人员由内蒙古自治区</w:t>
      </w:r>
      <w:r>
        <w:rPr>
          <w:rFonts w:hint="eastAsia" w:ascii="仿宋" w:hAnsi="仿宋" w:eastAsia="仿宋" w:cs="仿宋"/>
          <w:color w:val="auto"/>
          <w:sz w:val="32"/>
          <w:szCs w:val="32"/>
          <w:lang w:eastAsia="zh-CN"/>
        </w:rPr>
        <w:t>建筑业协会专家委员会专家库抽选。</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工程复查</w:t>
      </w:r>
      <w:r>
        <w:rPr>
          <w:rFonts w:hint="eastAsia" w:ascii="仿宋" w:hAnsi="仿宋" w:eastAsia="仿宋" w:cs="仿宋"/>
          <w:color w:val="auto"/>
          <w:sz w:val="32"/>
          <w:szCs w:val="32"/>
        </w:rPr>
        <w:t>由功能效益评估、设计与施工及产品质量评估、运行维护与资料评估三个部分组成，实施量化综合评估。</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 xml:space="preserve">第十八条  </w:t>
      </w:r>
      <w:r>
        <w:rPr>
          <w:rFonts w:hint="eastAsia" w:ascii="仿宋" w:hAnsi="仿宋" w:eastAsia="仿宋" w:cs="仿宋"/>
          <w:color w:val="auto"/>
          <w:sz w:val="32"/>
          <w:szCs w:val="32"/>
          <w:lang w:eastAsia="zh-CN"/>
        </w:rPr>
        <w:t>工</w:t>
      </w:r>
      <w:r>
        <w:rPr>
          <w:rFonts w:hint="eastAsia" w:ascii="仿宋" w:hAnsi="仿宋" w:eastAsia="仿宋" w:cs="仿宋"/>
          <w:color w:val="auto"/>
          <w:sz w:val="32"/>
          <w:szCs w:val="32"/>
        </w:rPr>
        <w:t>程复查结束后，复查小组向评审委员会提交复查报告，评审委员会在建筑业协会组织下开展评审工作，评审委员会根据推荐工程的申报资料和复查小组的汇报，通过质询、讨论进行综合评审，最终以无记名投票方式</w:t>
      </w:r>
      <w:r>
        <w:rPr>
          <w:rFonts w:hint="eastAsia" w:ascii="仿宋" w:hAnsi="仿宋" w:eastAsia="仿宋" w:cs="仿宋"/>
          <w:color w:val="auto"/>
          <w:kern w:val="0"/>
          <w:sz w:val="32"/>
          <w:szCs w:val="32"/>
          <w:highlight w:val="none"/>
          <w:shd w:val="clear" w:color="auto" w:fill="FFFFFF"/>
          <w:lang w:bidi="ar"/>
        </w:rPr>
        <w:t>进行表决，获半数以上赞同票通过，</w:t>
      </w:r>
      <w:r>
        <w:rPr>
          <w:rFonts w:hint="eastAsia" w:ascii="仿宋" w:hAnsi="仿宋" w:eastAsia="仿宋" w:cs="仿宋"/>
          <w:color w:val="auto"/>
          <w:kern w:val="0"/>
          <w:sz w:val="32"/>
          <w:szCs w:val="32"/>
          <w:highlight w:val="none"/>
          <w:shd w:val="clear" w:color="auto" w:fill="FFFFFF"/>
          <w:lang w:eastAsia="zh-CN" w:bidi="ar"/>
        </w:rPr>
        <w:t>评审结果报自治区建筑业协会批准后表彰</w:t>
      </w:r>
      <w:r>
        <w:rPr>
          <w:rFonts w:hint="eastAsia" w:ascii="仿宋" w:hAnsi="仿宋" w:eastAsia="仿宋" w:cs="仿宋"/>
          <w:color w:val="auto"/>
          <w:sz w:val="32"/>
          <w:szCs w:val="32"/>
        </w:rPr>
        <w:t>。</w:t>
      </w:r>
    </w:p>
    <w:p>
      <w:pPr>
        <w:spacing w:line="360" w:lineRule="auto"/>
        <w:rPr>
          <w:rFonts w:hint="eastAsia" w:ascii="仿宋" w:hAnsi="仿宋" w:eastAsia="仿宋" w:cs="仿宋"/>
          <w:color w:val="auto"/>
          <w:sz w:val="32"/>
          <w:szCs w:val="32"/>
        </w:rPr>
      </w:pPr>
    </w:p>
    <w:p>
      <w:pPr>
        <w:numPr>
          <w:ilvl w:val="0"/>
          <w:numId w:val="1"/>
        </w:numPr>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 xml:space="preserve"> 奖  </w:t>
      </w:r>
      <w:r>
        <w:rPr>
          <w:rFonts w:hint="eastAsia" w:ascii="仿宋" w:hAnsi="仿宋" w:eastAsia="仿宋" w:cs="仿宋"/>
          <w:b/>
          <w:color w:val="auto"/>
          <w:sz w:val="32"/>
          <w:szCs w:val="32"/>
          <w:lang w:eastAsia="zh-CN"/>
        </w:rPr>
        <w:t>罚</w:t>
      </w:r>
    </w:p>
    <w:p>
      <w:pPr>
        <w:ind w:firstLine="643" w:firstLineChars="200"/>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二十</w:t>
      </w:r>
      <w:r>
        <w:rPr>
          <w:rFonts w:hint="eastAsia" w:ascii="仿宋" w:hAnsi="仿宋" w:eastAsia="仿宋" w:cs="仿宋"/>
          <w:b/>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b w:val="0"/>
          <w:bCs w:val="0"/>
          <w:strike w:val="0"/>
          <w:dstrike w:val="0"/>
          <w:color w:val="auto"/>
          <w:sz w:val="32"/>
          <w:szCs w:val="32"/>
          <w:shd w:val="clear" w:color="auto" w:fill="auto"/>
          <w:lang w:val="en-US" w:eastAsia="zh-CN"/>
        </w:rPr>
        <w:t>内蒙古自治区建筑业协会监事会负责奖项评审纪律监督审查工作。</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二十一</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申报项目曾获盟市级及以上奖项，给予适当加分。</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二十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申报单位要坚持实事求是，不得弄虚作假，不搞违法违纪行为，对违反规定的，视情节给予批评，直至撤销申报和获奖资格。</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二十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复查和评审人员要秉公办事，廉洁自律，对违反者，一经查实，撤销参加工程复查和评审委员资格。</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eastAsia="zh-CN"/>
        </w:rPr>
        <w:t>三</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对已获奖的工程项目，若发现该工程存在严重隐患或其他问题，我会有权取消该工程的奖项。</w:t>
      </w:r>
    </w:p>
    <w:p>
      <w:pPr>
        <w:spacing w:line="360" w:lineRule="auto"/>
        <w:ind w:firstLine="560"/>
        <w:rPr>
          <w:rFonts w:hint="eastAsia"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color w:val="auto"/>
          <w:sz w:val="32"/>
          <w:szCs w:val="32"/>
        </w:rPr>
        <w:t>对通过“内蒙古自治区智能化优质工程”评选的申报单位，我会将对申报单位、主要参建单位颁发《内蒙古自治区智能化优质工程》证书及奖杯，并通报表彰。同时在《内蒙古建筑业》期刊、内蒙古自治区建筑业协会网站（www.nmjx.org）及有关媒体上公布表彰。</w:t>
      </w:r>
    </w:p>
    <w:p>
      <w:pPr>
        <w:spacing w:line="360" w:lineRule="auto"/>
        <w:rPr>
          <w:rFonts w:hint="eastAsia" w:ascii="仿宋" w:hAnsi="仿宋" w:eastAsia="仿宋" w:cs="仿宋"/>
          <w:color w:val="auto"/>
          <w:sz w:val="32"/>
          <w:szCs w:val="32"/>
        </w:rPr>
      </w:pPr>
    </w:p>
    <w:p>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章  附  则</w:t>
      </w:r>
    </w:p>
    <w:p>
      <w:pPr>
        <w:spacing w:line="360" w:lineRule="auto"/>
        <w:ind w:firstLine="643" w:firstLineChars="200"/>
        <w:rPr>
          <w:rFonts w:hint="eastAsia" w:ascii="仿宋" w:hAnsi="仿宋" w:eastAsia="仿宋" w:cs="仿宋"/>
          <w:color w:val="auto"/>
          <w:sz w:val="32"/>
          <w:szCs w:val="32"/>
        </w:rPr>
      </w:pPr>
      <w:r>
        <w:rPr>
          <w:rFonts w:hint="eastAsia" w:ascii="仿宋" w:hAnsi="仿宋" w:eastAsia="仿宋" w:cs="仿宋"/>
          <w:b/>
          <w:color w:val="auto"/>
          <w:sz w:val="32"/>
          <w:szCs w:val="32"/>
        </w:rPr>
        <w:t>第二十</w:t>
      </w:r>
      <w:r>
        <w:rPr>
          <w:rFonts w:hint="eastAsia" w:ascii="仿宋" w:hAnsi="仿宋" w:eastAsia="仿宋" w:cs="仿宋"/>
          <w:b/>
          <w:color w:val="auto"/>
          <w:sz w:val="32"/>
          <w:szCs w:val="32"/>
          <w:lang w:val="en-US" w:eastAsia="zh-CN"/>
        </w:rPr>
        <w:t>五</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val="0"/>
          <w:bCs w:val="0"/>
          <w:color w:val="auto"/>
          <w:sz w:val="32"/>
          <w:szCs w:val="32"/>
          <w:lang w:val="en-US" w:eastAsia="zh-CN"/>
        </w:rPr>
        <w:t>本办法由内蒙古自治区建筑业协会负责解释。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 xml:space="preserve">第二十六条 </w:t>
      </w:r>
      <w:r>
        <w:rPr>
          <w:rFonts w:hint="eastAsia" w:ascii="仿宋" w:hAnsi="仿宋" w:eastAsia="仿宋" w:cs="仿宋"/>
          <w:b w:val="0"/>
          <w:bCs w:val="0"/>
          <w:color w:val="auto"/>
          <w:sz w:val="32"/>
          <w:szCs w:val="32"/>
          <w:lang w:val="en-US" w:eastAsia="zh-CN"/>
        </w:rPr>
        <w:t xml:space="preserve"> 本办法自公布之日起实施。20</w:t>
      </w:r>
      <w:r>
        <w:rPr>
          <w:rFonts w:hint="eastAsia" w:ascii="仿宋" w:hAnsi="仿宋" w:eastAsia="仿宋" w:cs="仿宋"/>
          <w:b w:val="0"/>
          <w:bCs w:val="0"/>
          <w:color w:val="auto"/>
          <w:sz w:val="32"/>
          <w:szCs w:val="32"/>
          <w:lang w:eastAsia="zh-CN"/>
        </w:rPr>
        <w:t>2</w:t>
      </w:r>
      <w:r>
        <w:rPr>
          <w:rFonts w:hint="eastAsia" w:ascii="仿宋" w:hAnsi="仿宋" w:eastAsia="仿宋" w:cs="仿宋"/>
          <w:b w:val="0"/>
          <w:bCs w:val="0"/>
          <w:color w:val="auto"/>
          <w:sz w:val="32"/>
          <w:szCs w:val="32"/>
          <w:lang w:val="en-US" w:eastAsia="zh-CN"/>
        </w:rPr>
        <w:t>1年7月1日颁发的《内蒙古自治区</w:t>
      </w:r>
      <w:r>
        <w:rPr>
          <w:rFonts w:hint="eastAsia" w:ascii="仿宋" w:hAnsi="仿宋" w:eastAsia="仿宋" w:cs="仿宋"/>
          <w:color w:val="auto"/>
          <w:sz w:val="32"/>
          <w:szCs w:val="32"/>
        </w:rPr>
        <w:t>智能化优质工程</w:t>
      </w:r>
      <w:r>
        <w:rPr>
          <w:rFonts w:hint="eastAsia" w:ascii="仿宋" w:hAnsi="仿宋" w:eastAsia="仿宋" w:cs="仿宋"/>
          <w:color w:val="auto"/>
          <w:sz w:val="32"/>
          <w:szCs w:val="32"/>
          <w:lang w:eastAsia="zh-CN"/>
        </w:rPr>
        <w:t>奖评选办法</w:t>
      </w:r>
      <w:r>
        <w:rPr>
          <w:rFonts w:hint="eastAsia" w:ascii="仿宋" w:hAnsi="仿宋" w:eastAsia="仿宋" w:cs="仿宋"/>
          <w:b w:val="0"/>
          <w:bCs w:val="0"/>
          <w:color w:val="auto"/>
          <w:sz w:val="32"/>
          <w:szCs w:val="32"/>
          <w:lang w:val="en-US" w:eastAsia="zh-CN"/>
        </w:rPr>
        <w:t>》（内建协〔20</w:t>
      </w:r>
      <w:r>
        <w:rPr>
          <w:rFonts w:hint="eastAsia" w:ascii="仿宋" w:hAnsi="仿宋" w:eastAsia="仿宋" w:cs="仿宋"/>
          <w:b w:val="0"/>
          <w:bCs w:val="0"/>
          <w:color w:val="auto"/>
          <w:sz w:val="32"/>
          <w:szCs w:val="32"/>
          <w:lang w:eastAsia="zh-CN"/>
        </w:rPr>
        <w:t>2</w:t>
      </w:r>
      <w:r>
        <w:rPr>
          <w:rFonts w:hint="eastAsia" w:ascii="仿宋" w:hAnsi="仿宋" w:eastAsia="仿宋" w:cs="仿宋"/>
          <w:b w:val="0"/>
          <w:bCs w:val="0"/>
          <w:color w:val="auto"/>
          <w:sz w:val="32"/>
          <w:szCs w:val="32"/>
          <w:lang w:val="en-US" w:eastAsia="zh-CN"/>
        </w:rPr>
        <w:t>1〕109号）同时废止。</w:t>
      </w:r>
    </w:p>
    <w:p>
      <w:pPr>
        <w:widowControl/>
        <w:jc w:val="left"/>
        <w:rPr>
          <w:rFonts w:hint="eastAsia" w:ascii="仿宋_GB2312" w:hAnsi="仿宋_GB2312" w:eastAsia="仿宋_GB2312" w:cs="仿宋_GB2312"/>
          <w:color w:val="auto"/>
          <w:sz w:val="32"/>
          <w:szCs w:val="32"/>
        </w:rPr>
      </w:pPr>
    </w:p>
    <w:p>
      <w:pPr>
        <w:widowControl/>
        <w:jc w:val="left"/>
        <w:rPr>
          <w:rFonts w:hint="eastAsia" w:ascii="仿宋" w:hAnsi="仿宋" w:eastAsia="仿宋" w:cs="仿宋"/>
          <w:color w:val="auto"/>
          <w:sz w:val="28"/>
          <w:szCs w:val="28"/>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ascii="仿宋" w:hAnsi="仿宋" w:eastAsia="仿宋" w:cs="仿宋"/>
          <w:color w:val="auto"/>
          <w:sz w:val="28"/>
          <w:szCs w:val="28"/>
        </w:rPr>
        <w:br w:type="page"/>
      </w:r>
    </w:p>
    <w:tbl>
      <w:tblPr>
        <w:tblStyle w:val="5"/>
        <w:tblW w:w="14530" w:type="dxa"/>
        <w:tblInd w:w="1" w:type="dxa"/>
        <w:tblLayout w:type="fixed"/>
        <w:tblCellMar>
          <w:top w:w="0" w:type="dxa"/>
          <w:left w:w="108" w:type="dxa"/>
          <w:bottom w:w="0" w:type="dxa"/>
          <w:right w:w="108" w:type="dxa"/>
        </w:tblCellMar>
      </w:tblPr>
      <w:tblGrid>
        <w:gridCol w:w="720"/>
        <w:gridCol w:w="1355"/>
        <w:gridCol w:w="725"/>
        <w:gridCol w:w="6286"/>
        <w:gridCol w:w="4214"/>
        <w:gridCol w:w="1230"/>
      </w:tblGrid>
      <w:tr>
        <w:tblPrEx>
          <w:tblCellMar>
            <w:top w:w="0" w:type="dxa"/>
            <w:left w:w="108" w:type="dxa"/>
            <w:bottom w:w="0" w:type="dxa"/>
            <w:right w:w="108" w:type="dxa"/>
          </w:tblCellMar>
        </w:tblPrEx>
        <w:trPr>
          <w:trHeight w:val="1024" w:hRule="atLeast"/>
        </w:trPr>
        <w:tc>
          <w:tcPr>
            <w:tcW w:w="14530" w:type="dxa"/>
            <w:gridSpan w:val="6"/>
            <w:tcBorders>
              <w:top w:val="nil"/>
              <w:left w:val="nil"/>
              <w:bottom w:val="single" w:color="auto" w:sz="4" w:space="0"/>
              <w:right w:val="nil"/>
            </w:tcBorders>
            <w:vAlign w:val="center"/>
          </w:tcPr>
          <w:p>
            <w:pPr>
              <w:widowControl/>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内蒙古自治区智能化优质工程奖评选计分表</w:t>
            </w:r>
          </w:p>
        </w:tc>
      </w:tr>
      <w:tr>
        <w:tblPrEx>
          <w:tblCellMar>
            <w:top w:w="0" w:type="dxa"/>
            <w:left w:w="108" w:type="dxa"/>
            <w:bottom w:w="0" w:type="dxa"/>
            <w:right w:w="108" w:type="dxa"/>
          </w:tblCellMar>
        </w:tblPrEx>
        <w:trPr>
          <w:trHeight w:val="744"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序号</w:t>
            </w:r>
          </w:p>
        </w:tc>
        <w:tc>
          <w:tcPr>
            <w:tcW w:w="1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检查项目</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权重</w:t>
            </w:r>
          </w:p>
        </w:tc>
        <w:tc>
          <w:tcPr>
            <w:tcW w:w="628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评分标准</w:t>
            </w:r>
          </w:p>
        </w:tc>
        <w:tc>
          <w:tcPr>
            <w:tcW w:w="4214"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检查要点</w:t>
            </w:r>
          </w:p>
        </w:tc>
        <w:tc>
          <w:tcPr>
            <w:tcW w:w="12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Hans"/>
              </w:rPr>
              <w:t>专家</w:t>
            </w:r>
          </w:p>
          <w:p>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lang w:val="en-US" w:eastAsia="zh-Hans"/>
              </w:rPr>
              <w:t>评</w:t>
            </w:r>
            <w:r>
              <w:rPr>
                <w:rFonts w:hint="eastAsia" w:ascii="仿宋" w:hAnsi="仿宋" w:eastAsia="仿宋" w:cs="仿宋"/>
                <w:b/>
                <w:bCs/>
                <w:color w:val="auto"/>
                <w:kern w:val="0"/>
                <w:sz w:val="24"/>
                <w:szCs w:val="24"/>
              </w:rPr>
              <w:t>分</w:t>
            </w:r>
          </w:p>
        </w:tc>
      </w:tr>
      <w:tr>
        <w:tblPrEx>
          <w:tblCellMar>
            <w:top w:w="0" w:type="dxa"/>
            <w:left w:w="108" w:type="dxa"/>
            <w:bottom w:w="0" w:type="dxa"/>
            <w:right w:w="108" w:type="dxa"/>
          </w:tblCellMar>
        </w:tblPrEx>
        <w:trPr>
          <w:trHeight w:val="612"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w:t>
            </w:r>
          </w:p>
        </w:tc>
        <w:tc>
          <w:tcPr>
            <w:tcW w:w="13810"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设计质量（20分）</w:t>
            </w:r>
          </w:p>
        </w:tc>
      </w:tr>
      <w:tr>
        <w:tblPrEx>
          <w:tblCellMar>
            <w:top w:w="0" w:type="dxa"/>
            <w:left w:w="108" w:type="dxa"/>
            <w:bottom w:w="0" w:type="dxa"/>
            <w:right w:w="108" w:type="dxa"/>
          </w:tblCellMar>
        </w:tblPrEx>
        <w:trPr>
          <w:trHeight w:val="1035" w:hRule="atLeast"/>
        </w:trPr>
        <w:tc>
          <w:tcPr>
            <w:tcW w:w="720"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135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合理性</w:t>
            </w:r>
          </w:p>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13分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628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系统定位合理，设计符合建筑功能和管理需求</w:t>
            </w:r>
          </w:p>
        </w:tc>
        <w:tc>
          <w:tcPr>
            <w:tcW w:w="421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安防评审报告、消防评审报告、智能化系统检测报告审查、现场勘察</w:t>
            </w:r>
          </w:p>
        </w:tc>
        <w:tc>
          <w:tcPr>
            <w:tcW w:w="12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894" w:hRule="atLeast"/>
        </w:trPr>
        <w:tc>
          <w:tcPr>
            <w:tcW w:w="72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55"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628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strike w:val="0"/>
                <w:color w:val="auto"/>
                <w:kern w:val="0"/>
                <w:sz w:val="24"/>
                <w:szCs w:val="24"/>
                <w:lang w:val="en-US" w:eastAsia="zh-Hans"/>
              </w:rPr>
              <w:t>系统</w:t>
            </w:r>
            <w:r>
              <w:rPr>
                <w:rFonts w:hint="eastAsia" w:ascii="仿宋" w:hAnsi="仿宋" w:eastAsia="仿宋" w:cs="仿宋"/>
                <w:color w:val="auto"/>
                <w:kern w:val="0"/>
                <w:sz w:val="24"/>
                <w:szCs w:val="24"/>
              </w:rPr>
              <w:t>布局合理，便于维修、改造和更换</w:t>
            </w:r>
          </w:p>
        </w:tc>
        <w:tc>
          <w:tcPr>
            <w:tcW w:w="421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现场勘查弱电间及管</w:t>
            </w:r>
            <w:r>
              <w:rPr>
                <w:rFonts w:hint="eastAsia" w:ascii="仿宋" w:hAnsi="仿宋" w:eastAsia="仿宋" w:cs="仿宋"/>
                <w:color w:val="auto"/>
                <w:kern w:val="0"/>
                <w:sz w:val="24"/>
                <w:szCs w:val="24"/>
                <w:lang w:val="en-US" w:eastAsia="zh-Hans"/>
              </w:rPr>
              <w:t>道</w:t>
            </w:r>
            <w:r>
              <w:rPr>
                <w:rFonts w:hint="eastAsia" w:ascii="仿宋" w:hAnsi="仿宋" w:eastAsia="仿宋" w:cs="仿宋"/>
                <w:color w:val="auto"/>
                <w:kern w:val="0"/>
                <w:sz w:val="24"/>
                <w:szCs w:val="24"/>
              </w:rPr>
              <w:t>井</w:t>
            </w:r>
          </w:p>
        </w:tc>
        <w:tc>
          <w:tcPr>
            <w:tcW w:w="12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999" w:hRule="atLeast"/>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1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规范性</w:t>
            </w:r>
          </w:p>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628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符合现行设计规范</w:t>
            </w:r>
          </w:p>
        </w:tc>
        <w:tc>
          <w:tcPr>
            <w:tcW w:w="421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与现行设计规范相符合</w:t>
            </w:r>
          </w:p>
        </w:tc>
        <w:tc>
          <w:tcPr>
            <w:tcW w:w="12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765"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135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设计集成度和开放度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3分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6286"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设计集成度和开放度较高</w:t>
            </w:r>
          </w:p>
        </w:tc>
        <w:tc>
          <w:tcPr>
            <w:tcW w:w="4214"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设计说明和系统图审查</w:t>
            </w:r>
          </w:p>
        </w:tc>
        <w:tc>
          <w:tcPr>
            <w:tcW w:w="12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717" w:hRule="atLeast"/>
        </w:trPr>
        <w:tc>
          <w:tcPr>
            <w:tcW w:w="1453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得分小计：</w:t>
            </w:r>
          </w:p>
        </w:tc>
      </w:tr>
    </w:tbl>
    <w:p>
      <w:pPr>
        <w:rPr>
          <w:rFonts w:asciiTheme="minorEastAsia" w:hAnsiTheme="minorEastAsia"/>
          <w:b/>
          <w:color w:val="auto"/>
          <w:sz w:val="36"/>
          <w:szCs w:val="28"/>
        </w:rPr>
      </w:pPr>
    </w:p>
    <w:p>
      <w:pPr>
        <w:rPr>
          <w:rFonts w:asciiTheme="minorEastAsia" w:hAnsiTheme="minorEastAsia"/>
          <w:b/>
          <w:color w:val="auto"/>
          <w:szCs w:val="18"/>
        </w:rPr>
      </w:pPr>
    </w:p>
    <w:p>
      <w:pPr>
        <w:rPr>
          <w:rFonts w:asciiTheme="minorEastAsia" w:hAnsiTheme="minorEastAsia"/>
          <w:b/>
          <w:color w:val="auto"/>
          <w:szCs w:val="18"/>
        </w:rPr>
      </w:pPr>
    </w:p>
    <w:p>
      <w:pPr>
        <w:rPr>
          <w:rFonts w:asciiTheme="minorEastAsia" w:hAnsiTheme="minorEastAsia"/>
          <w:b/>
          <w:color w:val="auto"/>
          <w:szCs w:val="18"/>
        </w:rPr>
      </w:pPr>
    </w:p>
    <w:tbl>
      <w:tblPr>
        <w:tblStyle w:val="5"/>
        <w:tblpPr w:leftFromText="180" w:rightFromText="180" w:vertAnchor="text" w:horzAnchor="page" w:tblpX="1143" w:tblpY="182"/>
        <w:tblOverlap w:val="never"/>
        <w:tblW w:w="14548" w:type="dxa"/>
        <w:tblInd w:w="0" w:type="dxa"/>
        <w:tblLayout w:type="fixed"/>
        <w:tblCellMar>
          <w:top w:w="0" w:type="dxa"/>
          <w:left w:w="108" w:type="dxa"/>
          <w:bottom w:w="0" w:type="dxa"/>
          <w:right w:w="108" w:type="dxa"/>
        </w:tblCellMar>
      </w:tblPr>
      <w:tblGrid>
        <w:gridCol w:w="709"/>
        <w:gridCol w:w="1367"/>
        <w:gridCol w:w="725"/>
        <w:gridCol w:w="6253"/>
        <w:gridCol w:w="4264"/>
        <w:gridCol w:w="1230"/>
      </w:tblGrid>
      <w:tr>
        <w:tblPrEx>
          <w:tblCellMar>
            <w:top w:w="0" w:type="dxa"/>
            <w:left w:w="108" w:type="dxa"/>
            <w:bottom w:w="0" w:type="dxa"/>
            <w:right w:w="108" w:type="dxa"/>
          </w:tblCellMar>
        </w:tblPrEx>
        <w:trPr>
          <w:trHeight w:val="53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2</w:t>
            </w:r>
          </w:p>
        </w:tc>
        <w:tc>
          <w:tcPr>
            <w:tcW w:w="13839" w:type="dxa"/>
            <w:gridSpan w:val="5"/>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施工与调试质量 （50分）</w:t>
            </w:r>
          </w:p>
        </w:tc>
      </w:tr>
      <w:tr>
        <w:tblPrEx>
          <w:tblCellMar>
            <w:top w:w="0" w:type="dxa"/>
            <w:left w:w="108" w:type="dxa"/>
            <w:bottom w:w="0" w:type="dxa"/>
            <w:right w:w="108" w:type="dxa"/>
          </w:tblCellMar>
        </w:tblPrEx>
        <w:trPr>
          <w:trHeight w:val="379"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1367"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施工过</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程管理</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 分</w:t>
            </w:r>
          </w:p>
        </w:tc>
        <w:tc>
          <w:tcPr>
            <w:tcW w:w="72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6253"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按规定进行工程开工报审程序</w:t>
            </w:r>
          </w:p>
        </w:tc>
        <w:tc>
          <w:tcPr>
            <w:tcW w:w="426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开工报审表</w:t>
            </w:r>
          </w:p>
        </w:tc>
        <w:tc>
          <w:tcPr>
            <w:tcW w:w="1230"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471"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按规定进行施工前的图纸会审和设计交底</w:t>
            </w:r>
          </w:p>
        </w:tc>
        <w:tc>
          <w:tcPr>
            <w:tcW w:w="426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施工前的图纸会审和设计交底记录</w:t>
            </w:r>
          </w:p>
        </w:tc>
        <w:tc>
          <w:tcPr>
            <w:tcW w:w="1230"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10"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按规定编制施工组织设计并交底，对施工关键技术的组织说明</w:t>
            </w:r>
          </w:p>
        </w:tc>
        <w:tc>
          <w:tcPr>
            <w:tcW w:w="4264"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施工组织设计及其三级交底记录</w:t>
            </w:r>
          </w:p>
        </w:tc>
        <w:tc>
          <w:tcPr>
            <w:tcW w:w="1230" w:type="dxa"/>
            <w:tcBorders>
              <w:top w:val="single" w:color="auto" w:sz="4" w:space="0"/>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7"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按规定编制施工日志</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施工日志</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82"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施工单位调试报告规范齐全</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施工单位调试报告</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57"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技术创新：应用新技术、新工艺</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专利、工法、论文</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490" w:hRule="atLeast"/>
        </w:trPr>
        <w:tc>
          <w:tcPr>
            <w:tcW w:w="70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c>
          <w:tcPr>
            <w:tcW w:w="1367"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 工</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 量</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 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隐蔽工程中间验收齐全规范</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施工单位自检资料、监理验收资料</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45"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设备安装位置合理、安装工艺符合规范要求，细部处理和观感质量比较到位</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现场勘查</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80"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桥架、管路、线缆敷设符合规范要求，空间布局合理</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现场勘查</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402" w:hRule="atLeast"/>
        </w:trPr>
        <w:tc>
          <w:tcPr>
            <w:tcW w:w="70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机房、弱电间等布局合理，线缆敷设规范，标识清晰，便于维护</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现场勘查</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10" w:hRule="atLeast"/>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1367" w:type="dxa"/>
            <w:vMerge w:val="continue"/>
            <w:tcBorders>
              <w:left w:val="single" w:color="auto" w:sz="4" w:space="0"/>
              <w:bottom w:val="nil"/>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综合布线信息点100%自检合格（提供自检报告），三方检查（不低于10%）合格</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现场勘查、调试（结果、报告）</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72" w:hRule="atLeast"/>
        </w:trPr>
        <w:tc>
          <w:tcPr>
            <w:tcW w:w="70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136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验收及</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交付</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系统检测合格</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系统检测报告</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72"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系统竣工资料规范、齐全</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工程竣工资料</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30"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工程竣工验收合格</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工程竣工验收报告</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6"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承建方提供各系统操作说明</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各系统操作说明</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86" w:hRule="atLeast"/>
        </w:trPr>
        <w:tc>
          <w:tcPr>
            <w:tcW w:w="709" w:type="dxa"/>
            <w:vMerge w:val="continue"/>
            <w:tcBorders>
              <w:top w:val="nil"/>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1367" w:type="dxa"/>
            <w:vMerge w:val="continue"/>
            <w:tcBorders>
              <w:top w:val="single" w:color="auto" w:sz="4" w:space="0"/>
              <w:left w:val="single" w:color="auto" w:sz="4" w:space="0"/>
              <w:bottom w:val="single" w:color="000000" w:sz="4" w:space="0"/>
              <w:right w:val="single" w:color="auto" w:sz="4" w:space="0"/>
            </w:tcBorders>
            <w:vAlign w:val="center"/>
          </w:tcPr>
          <w:p>
            <w:pPr>
              <w:widowControl/>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6253"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承建方提供具有实际可操作性的操作培训，培训记录完整</w:t>
            </w:r>
          </w:p>
        </w:tc>
        <w:tc>
          <w:tcPr>
            <w:tcW w:w="4264"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各系统操作培训记录</w:t>
            </w:r>
          </w:p>
        </w:tc>
        <w:tc>
          <w:tcPr>
            <w:tcW w:w="1230" w:type="dxa"/>
            <w:tcBorders>
              <w:top w:val="nil"/>
              <w:left w:val="nil"/>
              <w:bottom w:val="single" w:color="auto" w:sz="4" w:space="0"/>
              <w:right w:val="single" w:color="auto" w:sz="4" w:space="0"/>
            </w:tcBorders>
            <w:vAlign w:val="center"/>
          </w:tcPr>
          <w:p>
            <w:pPr>
              <w:widowControl/>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79" w:hRule="atLeast"/>
        </w:trPr>
        <w:tc>
          <w:tcPr>
            <w:tcW w:w="1454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lang w:val="en-US" w:eastAsia="zh-CN"/>
              </w:rPr>
              <w:t xml:space="preserve">         </w:t>
            </w:r>
            <w:r>
              <w:rPr>
                <w:rFonts w:hint="eastAsia" w:ascii="仿宋" w:hAnsi="仿宋" w:eastAsia="仿宋" w:cs="仿宋"/>
                <w:b/>
                <w:color w:val="auto"/>
                <w:kern w:val="0"/>
                <w:sz w:val="24"/>
                <w:szCs w:val="24"/>
              </w:rPr>
              <w:t>得分小计：</w:t>
            </w:r>
          </w:p>
        </w:tc>
      </w:tr>
    </w:tbl>
    <w:tbl>
      <w:tblPr>
        <w:tblStyle w:val="5"/>
        <w:tblpPr w:leftFromText="180" w:rightFromText="180" w:vertAnchor="text" w:horzAnchor="page" w:tblpX="1126" w:tblpY="225"/>
        <w:tblOverlap w:val="never"/>
        <w:tblW w:w="14151" w:type="dxa"/>
        <w:tblInd w:w="0" w:type="dxa"/>
        <w:tblLayout w:type="fixed"/>
        <w:tblCellMar>
          <w:top w:w="0" w:type="dxa"/>
          <w:left w:w="108" w:type="dxa"/>
          <w:bottom w:w="0" w:type="dxa"/>
          <w:right w:w="108" w:type="dxa"/>
        </w:tblCellMar>
      </w:tblPr>
      <w:tblGrid>
        <w:gridCol w:w="705"/>
        <w:gridCol w:w="1361"/>
        <w:gridCol w:w="725"/>
        <w:gridCol w:w="6269"/>
        <w:gridCol w:w="4281"/>
        <w:gridCol w:w="810"/>
      </w:tblGrid>
      <w:tr>
        <w:tblPrEx>
          <w:tblCellMar>
            <w:top w:w="0" w:type="dxa"/>
            <w:left w:w="108" w:type="dxa"/>
            <w:bottom w:w="0" w:type="dxa"/>
            <w:right w:w="108" w:type="dxa"/>
          </w:tblCellMar>
        </w:tblPrEx>
        <w:trPr>
          <w:trHeight w:val="457"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3</w:t>
            </w:r>
          </w:p>
        </w:tc>
        <w:tc>
          <w:tcPr>
            <w:tcW w:w="13446" w:type="dxa"/>
            <w:gridSpan w:val="5"/>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运营保障 30分</w:t>
            </w:r>
          </w:p>
        </w:tc>
      </w:tr>
      <w:tr>
        <w:tblPrEx>
          <w:tblCellMar>
            <w:top w:w="0" w:type="dxa"/>
            <w:left w:w="108" w:type="dxa"/>
            <w:bottom w:w="0" w:type="dxa"/>
            <w:right w:w="108" w:type="dxa"/>
          </w:tblCellMar>
        </w:tblPrEx>
        <w:trPr>
          <w:trHeight w:val="645"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w:t>
            </w:r>
          </w:p>
        </w:tc>
        <w:tc>
          <w:tcPr>
            <w:tcW w:w="13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维保制度，5分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626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有完整规范的维修保养制度，并有相应的维保记录</w:t>
            </w:r>
          </w:p>
        </w:tc>
        <w:tc>
          <w:tcPr>
            <w:tcW w:w="428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维修保养制度</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3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w:t>
            </w:r>
          </w:p>
        </w:tc>
        <w:tc>
          <w:tcPr>
            <w:tcW w:w="13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维保质量，5分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626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维保服务规范，记录完整，措施到位及时</w:t>
            </w:r>
          </w:p>
        </w:tc>
        <w:tc>
          <w:tcPr>
            <w:tcW w:w="428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维保记录</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55"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w:t>
            </w:r>
          </w:p>
        </w:tc>
        <w:tc>
          <w:tcPr>
            <w:tcW w:w="13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运营质量，10分</w:t>
            </w:r>
          </w:p>
        </w:tc>
        <w:tc>
          <w:tcPr>
            <w:tcW w:w="72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6269"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系统运营稳定可靠，历史数据完整，提高了建筑物管理水平和应对应急事件的能力</w:t>
            </w:r>
          </w:p>
        </w:tc>
        <w:tc>
          <w:tcPr>
            <w:tcW w:w="4281"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物业运行报告、系统历史记录</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51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w:t>
            </w:r>
          </w:p>
        </w:tc>
        <w:tc>
          <w:tcPr>
            <w:tcW w:w="13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用户满意度，10分</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6269"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用户满意度较高</w:t>
            </w:r>
          </w:p>
        </w:tc>
        <w:tc>
          <w:tcPr>
            <w:tcW w:w="4281"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现场使用方调查或用户满意度报告</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489" w:hRule="atLeast"/>
        </w:trPr>
        <w:tc>
          <w:tcPr>
            <w:tcW w:w="14151" w:type="dxa"/>
            <w:gridSpan w:val="6"/>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得分小计：</w:t>
            </w:r>
          </w:p>
        </w:tc>
      </w:tr>
      <w:tr>
        <w:tblPrEx>
          <w:tblCellMar>
            <w:top w:w="0" w:type="dxa"/>
            <w:left w:w="108" w:type="dxa"/>
            <w:bottom w:w="0" w:type="dxa"/>
            <w:right w:w="108" w:type="dxa"/>
          </w:tblCellMar>
        </w:tblPrEx>
        <w:trPr>
          <w:trHeight w:val="511"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4</w:t>
            </w:r>
          </w:p>
        </w:tc>
        <w:tc>
          <w:tcPr>
            <w:tcW w:w="13446" w:type="dxa"/>
            <w:gridSpan w:val="5"/>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附加分（最高加10分）</w:t>
            </w:r>
          </w:p>
        </w:tc>
      </w:tr>
      <w:tr>
        <w:tblPrEx>
          <w:tblCellMar>
            <w:top w:w="0" w:type="dxa"/>
            <w:left w:w="108" w:type="dxa"/>
            <w:bottom w:w="0" w:type="dxa"/>
            <w:right w:w="108" w:type="dxa"/>
          </w:tblCellMar>
        </w:tblPrEx>
        <w:trPr>
          <w:trHeight w:val="35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w:t>
            </w:r>
          </w:p>
        </w:tc>
        <w:tc>
          <w:tcPr>
            <w:tcW w:w="1361" w:type="dxa"/>
            <w:vMerge w:val="restart"/>
            <w:tcBorders>
              <w:top w:val="nil"/>
              <w:left w:val="nil"/>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国家级</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055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申报工程整体获得鲁班奖、国优奖等综合奖</w:t>
            </w:r>
            <w:r>
              <w:rPr>
                <w:rFonts w:hint="eastAsia" w:ascii="仿宋" w:hAnsi="仿宋" w:eastAsia="仿宋" w:cs="仿宋"/>
                <w:color w:val="auto"/>
                <w:kern w:val="0"/>
                <w:sz w:val="24"/>
                <w:szCs w:val="24"/>
                <w:lang w:eastAsia="zh-CN"/>
              </w:rPr>
              <w:t>（作为主要参建单位）</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6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w:t>
            </w:r>
          </w:p>
        </w:tc>
        <w:tc>
          <w:tcPr>
            <w:tcW w:w="1361" w:type="dxa"/>
            <w:vMerge w:val="continue"/>
            <w:tcBorders>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055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申报工程应用国家级（智能化方面）新技术、专利、工法</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5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w:t>
            </w:r>
          </w:p>
        </w:tc>
        <w:tc>
          <w:tcPr>
            <w:tcW w:w="1361" w:type="dxa"/>
            <w:vMerge w:val="restart"/>
            <w:tcBorders>
              <w:top w:val="nil"/>
              <w:left w:val="nil"/>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自治</w:t>
            </w:r>
          </w:p>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区级</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055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申报工程整体获得自治区级质量方面综合奖</w:t>
            </w:r>
            <w:r>
              <w:rPr>
                <w:rFonts w:hint="eastAsia" w:ascii="仿宋" w:hAnsi="仿宋" w:eastAsia="仿宋" w:cs="仿宋"/>
                <w:color w:val="auto"/>
                <w:kern w:val="0"/>
                <w:sz w:val="24"/>
                <w:szCs w:val="24"/>
                <w:lang w:eastAsia="zh-CN"/>
              </w:rPr>
              <w:t>（作为主要参建单位）</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84"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w:t>
            </w:r>
          </w:p>
        </w:tc>
        <w:tc>
          <w:tcPr>
            <w:tcW w:w="1361" w:type="dxa"/>
            <w:vMerge w:val="continue"/>
            <w:tcBorders>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055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申报工程应用自治区级（智能化方面）新技术、专利、工法</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99"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w:t>
            </w:r>
          </w:p>
        </w:tc>
        <w:tc>
          <w:tcPr>
            <w:tcW w:w="1361" w:type="dxa"/>
            <w:vMerge w:val="restart"/>
            <w:tcBorders>
              <w:top w:val="nil"/>
              <w:left w:val="nil"/>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盟市级</w:t>
            </w: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055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申报工程整体获得盟市级质量方面综合奖</w:t>
            </w:r>
            <w:r>
              <w:rPr>
                <w:rFonts w:hint="eastAsia" w:ascii="仿宋" w:hAnsi="仿宋" w:eastAsia="仿宋" w:cs="仿宋"/>
                <w:color w:val="auto"/>
                <w:kern w:val="0"/>
                <w:sz w:val="24"/>
                <w:szCs w:val="24"/>
                <w:lang w:eastAsia="zh-CN"/>
              </w:rPr>
              <w:t>（作为主要参建单位）</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354" w:hRule="atLeast"/>
        </w:trPr>
        <w:tc>
          <w:tcPr>
            <w:tcW w:w="705"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p>
        </w:tc>
        <w:tc>
          <w:tcPr>
            <w:tcW w:w="1361" w:type="dxa"/>
            <w:vMerge w:val="continue"/>
            <w:tcBorders>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c>
          <w:tcPr>
            <w:tcW w:w="72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0550"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申报工程应用盟市级（智能化方面）新技术、专利、工法</w:t>
            </w:r>
          </w:p>
        </w:tc>
        <w:tc>
          <w:tcPr>
            <w:tcW w:w="81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429" w:hRule="atLeast"/>
        </w:trPr>
        <w:tc>
          <w:tcPr>
            <w:tcW w:w="14151"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kern w:val="0"/>
                <w:sz w:val="24"/>
                <w:szCs w:val="24"/>
              </w:rPr>
            </w:pPr>
            <w:r>
              <w:rPr>
                <w:rFonts w:hint="eastAsia" w:ascii="仿宋" w:hAnsi="仿宋" w:eastAsia="仿宋" w:cs="仿宋"/>
                <w:b/>
                <w:color w:val="auto"/>
                <w:kern w:val="0"/>
                <w:sz w:val="24"/>
                <w:szCs w:val="24"/>
              </w:rPr>
              <w:t>得分小计：</w:t>
            </w:r>
          </w:p>
        </w:tc>
      </w:tr>
    </w:tbl>
    <w:p>
      <w:pPr>
        <w:widowControl/>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填表总体说明：</w:t>
      </w:r>
    </w:p>
    <w:p>
      <w:pPr>
        <w:pStyle w:val="9"/>
        <w:widowControl/>
        <w:numPr>
          <w:ilvl w:val="0"/>
          <w:numId w:val="2"/>
        </w:numPr>
        <w:ind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各单项专家评分</w:t>
      </w:r>
      <w:r>
        <w:rPr>
          <w:rFonts w:hint="eastAsia" w:ascii="仿宋" w:hAnsi="仿宋" w:eastAsia="仿宋" w:cs="仿宋"/>
          <w:color w:val="auto"/>
          <w:kern w:val="0"/>
          <w:sz w:val="24"/>
          <w:szCs w:val="24"/>
          <w:lang w:val="en-US" w:eastAsia="zh-Hans"/>
        </w:rPr>
        <w:t>应按照实际情况进行打分</w:t>
      </w:r>
      <w:r>
        <w:rPr>
          <w:rFonts w:hint="eastAsia" w:ascii="仿宋" w:hAnsi="仿宋" w:eastAsia="仿宋" w:cs="仿宋"/>
          <w:color w:val="auto"/>
          <w:kern w:val="0"/>
          <w:sz w:val="24"/>
          <w:szCs w:val="24"/>
        </w:rPr>
        <w:t>；</w:t>
      </w:r>
    </w:p>
    <w:p>
      <w:pPr>
        <w:pStyle w:val="9"/>
        <w:widowControl/>
        <w:numPr>
          <w:ilvl w:val="0"/>
          <w:numId w:val="2"/>
        </w:numPr>
        <w:ind w:firstLineChars="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Hans"/>
        </w:rPr>
        <w:t>最后得分</w:t>
      </w:r>
      <w:r>
        <w:rPr>
          <w:rFonts w:hint="eastAsia" w:ascii="仿宋" w:hAnsi="仿宋" w:eastAsia="仿宋" w:cs="仿宋"/>
          <w:color w:val="auto"/>
          <w:kern w:val="0"/>
          <w:sz w:val="24"/>
          <w:szCs w:val="24"/>
        </w:rPr>
        <w:t>=专家评分/</w:t>
      </w:r>
      <w:r>
        <w:rPr>
          <w:rFonts w:hint="eastAsia" w:ascii="仿宋" w:hAnsi="仿宋" w:eastAsia="仿宋" w:cs="仿宋"/>
          <w:color w:val="auto"/>
          <w:kern w:val="0"/>
          <w:sz w:val="24"/>
          <w:szCs w:val="24"/>
          <w:lang w:val="en-US" w:eastAsia="zh-Hans"/>
        </w:rPr>
        <w:t>专家数</w:t>
      </w:r>
      <w:r>
        <w:rPr>
          <w:rFonts w:hint="eastAsia" w:ascii="仿宋" w:hAnsi="仿宋" w:eastAsia="仿宋" w:cs="仿宋"/>
          <w:color w:val="auto"/>
          <w:kern w:val="0"/>
          <w:sz w:val="24"/>
          <w:szCs w:val="24"/>
        </w:rPr>
        <w:t>；</w:t>
      </w:r>
    </w:p>
    <w:p>
      <w:pPr>
        <w:numPr>
          <w:ilvl w:val="0"/>
          <w:numId w:val="2"/>
        </w:numP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基础项评分达到60分，方能获得内蒙古自治区智能化优质工程奖评选资格。</w:t>
      </w:r>
    </w:p>
    <w:p>
      <w:pPr>
        <w:widowControl/>
        <w:jc w:val="left"/>
        <w:rPr>
          <w:rFonts w:ascii="宋体" w:hAnsi="宋体" w:cs="宋体"/>
          <w:color w:val="auto"/>
          <w:kern w:val="0"/>
          <w:sz w:val="22"/>
        </w:rPr>
        <w:sectPr>
          <w:pgSz w:w="16838" w:h="11906" w:orient="landscape"/>
          <w:pgMar w:top="1587" w:right="1134" w:bottom="1587" w:left="1134" w:header="851" w:footer="992" w:gutter="0"/>
          <w:pgBorders>
            <w:top w:val="none" w:sz="0" w:space="0"/>
            <w:left w:val="none" w:sz="0" w:space="0"/>
            <w:bottom w:val="none" w:sz="0" w:space="0"/>
            <w:right w:val="none" w:sz="0" w:space="0"/>
          </w:pgBorders>
          <w:pgNumType w:fmt="numberInDash"/>
          <w:cols w:space="0" w:num="1"/>
          <w:docGrid w:type="lines" w:linePitch="323" w:charSpace="0"/>
        </w:sectPr>
      </w:pPr>
    </w:p>
    <w:p>
      <w:pPr>
        <w:widowControl/>
        <w:tabs>
          <w:tab w:val="left" w:pos="1965"/>
        </w:tabs>
        <w:spacing w:line="360" w:lineRule="auto"/>
        <w:rPr>
          <w:rFonts w:hint="default" w:ascii="仿宋" w:hAnsi="仿宋" w:eastAsia="仿宋" w:cs="仿宋"/>
          <w:b w:val="0"/>
          <w:bCs/>
          <w:color w:val="auto"/>
          <w:sz w:val="32"/>
          <w:lang w:val="en-US" w:eastAsia="zh-CN"/>
        </w:rPr>
      </w:pPr>
      <w:r>
        <w:rPr>
          <w:rFonts w:hint="eastAsia" w:ascii="仿宋" w:hAnsi="仿宋" w:eastAsia="仿宋" w:cs="仿宋"/>
          <w:b w:val="0"/>
          <w:bCs/>
          <w:color w:val="auto"/>
          <w:sz w:val="32"/>
        </w:rPr>
        <w:t>附件</w:t>
      </w:r>
      <w:r>
        <w:rPr>
          <w:rFonts w:hint="eastAsia" w:ascii="仿宋" w:hAnsi="仿宋" w:eastAsia="仿宋" w:cs="仿宋"/>
          <w:b w:val="0"/>
          <w:bCs/>
          <w:color w:val="auto"/>
          <w:sz w:val="32"/>
          <w:lang w:val="en-US" w:eastAsia="zh-CN"/>
        </w:rPr>
        <w:t>2:</w:t>
      </w:r>
    </w:p>
    <w:p>
      <w:pPr>
        <w:spacing w:line="360" w:lineRule="auto"/>
        <w:jc w:val="center"/>
        <w:rPr>
          <w:rFonts w:hint="eastAsia" w:ascii="方正小标宋简体" w:hAnsi="方正小标宋简体" w:eastAsia="方正小标宋简体" w:cs="方正小标宋简体"/>
          <w:b/>
          <w:bCs/>
          <w:color w:val="auto"/>
          <w:spacing w:val="16"/>
          <w:sz w:val="40"/>
          <w:szCs w:val="40"/>
        </w:rPr>
      </w:pPr>
      <w:r>
        <w:rPr>
          <w:rFonts w:hint="eastAsia" w:ascii="方正小标宋简体" w:hAnsi="方正小标宋简体" w:eastAsia="方正小标宋简体" w:cs="方正小标宋简体"/>
          <w:b/>
          <w:bCs/>
          <w:color w:val="auto"/>
          <w:spacing w:val="16"/>
          <w:sz w:val="40"/>
          <w:szCs w:val="40"/>
        </w:rPr>
        <w:t>填表说明</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1.申报单位</w:t>
      </w:r>
      <w:r>
        <w:rPr>
          <w:rFonts w:hint="eastAsia" w:ascii="仿宋" w:hAnsi="仿宋" w:eastAsia="仿宋" w:cs="仿宋"/>
          <w:color w:val="auto"/>
          <w:spacing w:val="16"/>
          <w:sz w:val="30"/>
          <w:szCs w:val="30"/>
          <w:lang w:eastAsia="zh-CN"/>
        </w:rPr>
        <w:t>填写时</w:t>
      </w:r>
      <w:r>
        <w:rPr>
          <w:rFonts w:hint="eastAsia" w:ascii="仿宋" w:hAnsi="仿宋" w:eastAsia="仿宋" w:cs="仿宋"/>
          <w:color w:val="auto"/>
          <w:spacing w:val="16"/>
          <w:sz w:val="30"/>
          <w:szCs w:val="30"/>
        </w:rPr>
        <w:t>要求内容真实、准确，文字清楚。</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2.填写的工程名称必须与立项批文的工程名称一致。如有更改，需</w:t>
      </w:r>
      <w:r>
        <w:rPr>
          <w:rFonts w:hint="eastAsia" w:ascii="仿宋" w:hAnsi="仿宋" w:eastAsia="仿宋" w:cs="仿宋"/>
          <w:color w:val="auto"/>
          <w:spacing w:val="16"/>
          <w:sz w:val="30"/>
          <w:szCs w:val="30"/>
          <w:lang w:eastAsia="zh-CN"/>
        </w:rPr>
        <w:t>附</w:t>
      </w:r>
      <w:r>
        <w:rPr>
          <w:rFonts w:hint="eastAsia" w:ascii="仿宋" w:hAnsi="仿宋" w:eastAsia="仿宋" w:cs="仿宋"/>
          <w:color w:val="auto"/>
          <w:spacing w:val="16"/>
          <w:sz w:val="30"/>
          <w:szCs w:val="30"/>
        </w:rPr>
        <w:t>有相关单位的文件。</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3．单位名称须同相应的合同中的单位名称（章）一致。如有更名，需</w:t>
      </w:r>
      <w:r>
        <w:rPr>
          <w:rFonts w:hint="eastAsia" w:ascii="仿宋" w:hAnsi="仿宋" w:eastAsia="仿宋" w:cs="仿宋"/>
          <w:color w:val="auto"/>
          <w:spacing w:val="16"/>
          <w:sz w:val="30"/>
          <w:szCs w:val="30"/>
          <w:lang w:eastAsia="zh-CN"/>
        </w:rPr>
        <w:t>附</w:t>
      </w:r>
      <w:r>
        <w:rPr>
          <w:rFonts w:hint="eastAsia" w:ascii="仿宋" w:hAnsi="仿宋" w:eastAsia="仿宋" w:cs="仿宋"/>
          <w:color w:val="auto"/>
          <w:spacing w:val="16"/>
          <w:sz w:val="30"/>
          <w:szCs w:val="30"/>
        </w:rPr>
        <w:t>有相应的批准文件。</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4.单位简介主要填写单位的基本情况及主要业绩。</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5.工程类别一栏，按（1）公共建筑智能化工程类，（2）住宅小区智能化工程类，（3）其它类填写。除了（1）（2）之外，都是其它类。</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6.申报说明按评选办法的申报条件逐项加以说明。</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7．工程质量情况一览表中，质量验收结论以智能化系统(或子系统)质量竣工验收记录为准。</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8.</w:t>
      </w:r>
      <w:r>
        <w:rPr>
          <w:rFonts w:hint="eastAsia" w:ascii="仿宋" w:hAnsi="仿宋" w:eastAsia="仿宋" w:cs="仿宋"/>
          <w:color w:val="auto"/>
          <w:sz w:val="30"/>
          <w:szCs w:val="30"/>
        </w:rPr>
        <w:t>系统与子系统运行情况</w:t>
      </w:r>
      <w:r>
        <w:rPr>
          <w:rFonts w:hint="eastAsia" w:ascii="仿宋" w:hAnsi="仿宋" w:eastAsia="仿宋" w:cs="仿宋"/>
          <w:color w:val="auto"/>
          <w:spacing w:val="16"/>
          <w:sz w:val="30"/>
          <w:szCs w:val="30"/>
        </w:rPr>
        <w:t>主要填写</w:t>
      </w:r>
      <w:r>
        <w:rPr>
          <w:rFonts w:hint="eastAsia" w:ascii="仿宋" w:hAnsi="仿宋" w:eastAsia="仿宋" w:cs="仿宋"/>
          <w:color w:val="auto"/>
          <w:sz w:val="30"/>
          <w:szCs w:val="30"/>
        </w:rPr>
        <w:t>系统与各子系统</w:t>
      </w:r>
      <w:r>
        <w:rPr>
          <w:rFonts w:hint="eastAsia" w:ascii="仿宋" w:hAnsi="仿宋" w:eastAsia="仿宋" w:cs="仿宋"/>
          <w:color w:val="auto"/>
          <w:spacing w:val="16"/>
          <w:sz w:val="30"/>
          <w:szCs w:val="30"/>
        </w:rPr>
        <w:t>的开通时间、</w:t>
      </w:r>
      <w:r>
        <w:rPr>
          <w:rFonts w:hint="eastAsia" w:ascii="仿宋" w:hAnsi="仿宋" w:eastAsia="仿宋" w:cs="仿宋"/>
          <w:color w:val="auto"/>
          <w:sz w:val="30"/>
          <w:szCs w:val="30"/>
        </w:rPr>
        <w:t>运行与管理情况、</w:t>
      </w:r>
      <w:r>
        <w:rPr>
          <w:rFonts w:hint="eastAsia" w:ascii="仿宋" w:hAnsi="仿宋" w:eastAsia="仿宋" w:cs="仿宋"/>
          <w:color w:val="auto"/>
          <w:spacing w:val="16"/>
          <w:sz w:val="30"/>
          <w:szCs w:val="30"/>
        </w:rPr>
        <w:t>特点、难点及取得的效果。</w:t>
      </w:r>
    </w:p>
    <w:p>
      <w:pPr>
        <w:spacing w:line="640" w:lineRule="exact"/>
        <w:ind w:firstLine="664" w:firstLineChars="200"/>
        <w:jc w:val="left"/>
        <w:rPr>
          <w:rFonts w:ascii="仿宋" w:hAnsi="仿宋" w:eastAsia="仿宋" w:cs="仿宋"/>
          <w:color w:val="auto"/>
          <w:spacing w:val="16"/>
          <w:sz w:val="30"/>
          <w:szCs w:val="30"/>
        </w:rPr>
      </w:pPr>
      <w:r>
        <w:rPr>
          <w:rFonts w:hint="eastAsia" w:ascii="仿宋" w:hAnsi="仿宋" w:eastAsia="仿宋" w:cs="仿宋"/>
          <w:color w:val="auto"/>
          <w:spacing w:val="16"/>
          <w:sz w:val="30"/>
          <w:szCs w:val="30"/>
        </w:rPr>
        <w:t>9.经济效益是指满足设计需求的情况、运行后所带来的具体效益等方面的综合经济效益评价。</w:t>
      </w:r>
    </w:p>
    <w:p>
      <w:pPr>
        <w:spacing w:line="640" w:lineRule="exact"/>
        <w:ind w:firstLine="664" w:firstLineChars="200"/>
        <w:jc w:val="left"/>
      </w:pPr>
      <w:r>
        <w:rPr>
          <w:rFonts w:hint="eastAsia" w:ascii="仿宋" w:hAnsi="仿宋" w:eastAsia="仿宋" w:cs="仿宋"/>
          <w:color w:val="auto"/>
          <w:spacing w:val="16"/>
          <w:sz w:val="30"/>
          <w:szCs w:val="30"/>
        </w:rPr>
        <w:t>10.使用单位意见应含有工程质量水平、使用情况、使用效果方面内容。</w:t>
      </w:r>
    </w:p>
    <w:p/>
    <w:p/>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bookmarkStart w:id="0" w:name="_GoBack"/>
      <w:bookmarkEnd w:id="0"/>
      <w:r>
        <w:rPr>
          <w:rFonts w:hint="eastAsia" w:ascii="仿宋_GB2312" w:hAnsi="仿宋_GB2312" w:eastAsia="仿宋_GB2312" w:cs="仿宋_GB2312"/>
          <w:color w:val="000000"/>
          <w:sz w:val="32"/>
          <w:szCs w:val="32"/>
          <w:lang w:val="en-US" w:eastAsia="zh-CN"/>
        </w:rPr>
        <w:t>3：</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4384"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63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4445"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2"/>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6" name="图片 6"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415162140"/>
                    <pic:cNvPicPr>
                      <a:picLocks noChangeAspect="1"/>
                    </pic:cNvPicPr>
                  </pic:nvPicPr>
                  <pic:blipFill>
                    <a:blip r:embed="rId13"/>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7" name="图片 7"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415162224"/>
                    <pic:cNvPicPr>
                      <a:picLocks noChangeAspect="1"/>
                    </pic:cNvPicPr>
                  </pic:nvPicPr>
                  <pic:blipFill>
                    <a:blip r:embed="rId14"/>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9" name="图片 9"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308"/>
                    <pic:cNvPicPr>
                      <a:picLocks noChangeAspect="1"/>
                    </pic:cNvPicPr>
                  </pic:nvPicPr>
                  <pic:blipFill>
                    <a:blip r:embed="rId15"/>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3"/>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0" name="图片 10"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426"/>
                    <pic:cNvPicPr>
                      <a:picLocks noChangeAspect="1"/>
                    </pic:cNvPicPr>
                  </pic:nvPicPr>
                  <pic:blipFill>
                    <a:blip r:embed="rId16"/>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3" name="图片 13"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18104259"/>
                    <pic:cNvPicPr>
                      <a:picLocks noChangeAspect="1"/>
                    </pic:cNvPicPr>
                  </pic:nvPicPr>
                  <pic:blipFill>
                    <a:blip r:embed="rId17"/>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8"/>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19"/>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0"/>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2506980</wp:posOffset>
              </wp:positionH>
              <wp:positionV relativeFrom="paragraph">
                <wp:posOffset>0</wp:posOffset>
              </wp:positionV>
              <wp:extent cx="762635" cy="304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62635"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- 15 -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7.4pt;margin-top:0pt;height:24pt;width:60.05pt;mso-position-horizontal-relative:margin;z-index:251659264;mso-width-relative:page;mso-height-relative:page;" filled="f" stroked="f" coordsize="21600,21600" o:gfxdata="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aXxN3WAAAABwEAAA8AAAAAAAAAAQAgAAAAIgAAAGRycy9kb3ducmV2&#10;LnhtbFBLAQIUABQAAAAIAIdO4kCzYBXnNwIAAGMEAAAOAAAAAAAAAAEAIAAAACUBAABkcnMvZTJv&#10;RG9jLnhtbFBLBQYAAAAABgAGAFkBAADOBQAAAAA=&#10;">
              <v:fill on="f" focussize="0,0"/>
              <v:stroke on="f" weight="0.5pt"/>
              <v:imagedata o:title=""/>
              <o:lock v:ext="edit" aspectratio="f"/>
              <v:textbox inset="0mm,0mm,0mm,0mm">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- 15 -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9F7E57"/>
    <w:multiLevelType w:val="singleLevel"/>
    <w:tmpl w:val="099F7E57"/>
    <w:lvl w:ilvl="0" w:tentative="0">
      <w:start w:val="6"/>
      <w:numFmt w:val="chineseCounting"/>
      <w:suff w:val="space"/>
      <w:lvlText w:val="第%1章"/>
      <w:lvlJc w:val="left"/>
      <w:rPr>
        <w:rFonts w:hint="eastAsia"/>
      </w:rPr>
    </w:lvl>
  </w:abstractNum>
  <w:abstractNum w:abstractNumId="2">
    <w:nsid w:val="47E81234"/>
    <w:multiLevelType w:val="singleLevel"/>
    <w:tmpl w:val="47E81234"/>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0B335D19"/>
    <w:rsid w:val="2290188A"/>
    <w:rsid w:val="27C73CA3"/>
    <w:rsid w:val="6CAD4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uiPriority w:val="0"/>
    <w:rPr>
      <w:color w:val="000000"/>
      <w:u w:val="none"/>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4420</Words>
  <Characters>4576</Characters>
  <Lines>0</Lines>
  <Paragraphs>0</Paragraphs>
  <TotalTime>4</TotalTime>
  <ScaleCrop>false</ScaleCrop>
  <LinksUpToDate>false</LinksUpToDate>
  <CharactersWithSpaces>4674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2022-05-19T11:30:00Z</dcterms:created>
  <dc:creator>HUAWEI</dc:creator>
  <cp:lastModifiedBy>小赵</cp:lastModifiedBy>
  <dcterms:modified xsi:type="dcterms:W3CDTF">2022-05-23T02:00:47Z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2BD4B7AEECE647AF94491FA57F70C601</vt:lpwstr>
  </property>
</Properties>
</file>