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黑体" w:eastAsia="黑体" w:cs="黑体"/>
          <w:b w:val="0"/>
          <w:bCs w:val="0"/>
          <w:color w:val="000000"/>
          <w:sz w:val="32"/>
          <w:szCs w:val="32"/>
          <w:lang w:val="en-US" w:eastAsia="zh-CN"/>
        </w:rPr>
      </w:pPr>
      <w:r>
        <w:rPr>
          <w:rFonts w:ascii="黑体" w:eastAsia="黑体" w:cs="黑体" w:hint="eastAsia"/>
          <w:b w:val="0"/>
          <w:bCs w:val="0"/>
          <w:color w:val="000000"/>
          <w:sz w:val="32"/>
          <w:szCs w:val="32"/>
          <w:lang w:val="en-US" w:eastAsia="zh-CN"/>
        </w:rPr>
        <w:t>附件</w:t>
      </w:r>
      <w:r>
        <w:rPr>
          <w:rFonts w:ascii="黑体" w:eastAsia="黑体" w:cs="黑体"/>
          <w:b w:val="0"/>
          <w:bCs w:val="0"/>
          <w:color w:val="000000"/>
          <w:sz w:val="32"/>
          <w:szCs w:val="32"/>
          <w:lang w:val="en-US" w:eastAsia="zh-CN"/>
        </w:rPr>
        <w:t>1</w:t>
      </w:r>
      <w:r>
        <w:rPr>
          <w:rFonts w:ascii="黑体" w:eastAsia="黑体" w:cs="黑体" w:hint="eastAsia"/>
          <w:b w:val="0"/>
          <w:bCs w:val="0"/>
          <w:color w:val="000000"/>
          <w:sz w:val="32"/>
          <w:szCs w:val="32"/>
          <w:lang w:val="en-US" w:eastAsia="zh-CN"/>
        </w:rPr>
        <w:t>：</w:t>
      </w:r>
    </w:p>
    <w:p>
      <w:pPr>
        <w:jc w:val="both"/>
        <w:rPr>
          <w:rFonts w:ascii="黑体" w:eastAsia="黑体" w:cs="黑体" w:hint="eastAsia"/>
          <w:b w:val="0"/>
          <w:bCs w:val="0"/>
          <w:color w:val="000000"/>
          <w:sz w:val="32"/>
          <w:szCs w:val="32"/>
          <w:lang w:val="en-US" w:eastAsia="zh-CN"/>
        </w:rPr>
      </w:pPr>
    </w:p>
    <w:p>
      <w:pPr>
        <w:jc w:val="center"/>
        <w:rPr>
          <w:rFonts w:ascii="方正小标宋简体" w:eastAsia="方正小标宋简体" w:cs="方正小标宋简体" w:hint="eastAsia"/>
          <w:b w:val="0"/>
          <w:bCs w:val="0"/>
          <w:i w:val="0"/>
          <w:caps w:val="0"/>
          <w:smallCaps w:val="0"/>
          <w:color w:val="auto"/>
          <w:spacing w:val="0"/>
          <w:sz w:val="44"/>
          <w:szCs w:val="44"/>
          <w:shd w:val="clear" w:color="auto" w:fill="FFFFFF"/>
          <w:lang w:val="en-US" w:eastAsia="zh-CN"/>
        </w:rPr>
      </w:pPr>
      <w:r>
        <w:rPr>
          <w:rFonts w:ascii="方正小标宋简体" w:eastAsia="方正小标宋简体" w:cs="方正小标宋简体" w:hint="eastAsia"/>
          <w:b w:val="0"/>
          <w:bCs w:val="0"/>
          <w:i w:val="0"/>
          <w:caps w:val="0"/>
          <w:smallCaps w:val="0"/>
          <w:color w:val="auto"/>
          <w:spacing w:val="0"/>
          <w:sz w:val="44"/>
          <w:szCs w:val="44"/>
          <w:shd w:val="clear" w:color="auto" w:fill="FFFFFF"/>
          <w:lang w:val="en-US" w:eastAsia="zh-CN"/>
        </w:rPr>
        <w:t>关于鄂尔多斯建筑业协会2022年度</w:t>
      </w:r>
    </w:p>
    <w:p>
      <w:pPr>
        <w:jc w:val="center"/>
        <w:rPr>
          <w:rFonts w:ascii="方正小标宋简体" w:eastAsia="方正小标宋简体" w:cs="方正小标宋简体" w:hint="eastAsia"/>
          <w:sz w:val="44"/>
          <w:szCs w:val="44"/>
          <w:shd w:val="clear" w:color="auto" w:fill="FFFFFF"/>
        </w:rPr>
      </w:pPr>
      <w:r>
        <w:rPr>
          <w:rFonts w:ascii="方正小标宋简体" w:eastAsia="方正小标宋简体" w:cs="方正小标宋简体" w:hint="eastAsia"/>
          <w:b w:val="0"/>
          <w:bCs w:val="0"/>
          <w:i w:val="0"/>
          <w:caps w:val="0"/>
          <w:smallCaps w:val="0"/>
          <w:color w:val="auto"/>
          <w:spacing w:val="0"/>
          <w:sz w:val="44"/>
          <w:szCs w:val="44"/>
          <w:shd w:val="clear" w:color="auto" w:fill="FFFFFF"/>
          <w:lang w:val="en-US" w:eastAsia="zh-CN"/>
        </w:rPr>
        <w:t>工作计划（讨论稿）的提案审议</w:t>
      </w:r>
    </w:p>
    <w:tbl>
      <w:tblPr>
        <w:jc w:val="left"/>
        <w:tblInd w:w="-1118" w:type="dxa"/>
        <w:tblW w:w="1085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045"/>
        <w:gridCol w:w="4410"/>
        <w:gridCol w:w="3403"/>
      </w:tblGrid>
      <w:tr>
        <w:trPr>
          <w:trHeight w:val="929"/>
        </w:trPr>
        <w:tc>
          <w:tcPr>
            <w:tcW w:w="1085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方正小标宋简体" w:eastAsia="方正小标宋简体" w:cs="仿宋_GB2312"/>
                <w:b w:val="0"/>
                <w:i w:val="0"/>
                <w:color w:val="000000"/>
                <w:sz w:val="36"/>
              </w:rPr>
            </w:pPr>
            <w:r>
              <w:rPr>
                <w:rFonts w:ascii="方正小标宋简体" w:eastAsia="方正小标宋简体" w:cs="仿宋_GB2312" w:hint="eastAsia"/>
                <w:b w:val="0"/>
                <w:i w:val="0"/>
                <w:color w:val="000000"/>
                <w:sz w:val="36"/>
                <w:lang w:eastAsia="zh-CN"/>
              </w:rPr>
              <w:t>审议</w:t>
            </w:r>
            <w:r>
              <w:rPr>
                <w:rFonts w:ascii="方正小标宋简体" w:eastAsia="方正小标宋简体" w:cs="仿宋_GB2312"/>
                <w:b w:val="0"/>
                <w:i w:val="0"/>
                <w:color w:val="000000"/>
                <w:sz w:val="36"/>
              </w:rPr>
              <w:t>表决意见表</w:t>
            </w:r>
          </w:p>
        </w:tc>
      </w:tr>
      <w:tr>
        <w:trPr>
          <w:trHeight w:val="1143"/>
        </w:trPr>
        <w:tc>
          <w:tcPr>
            <w:tcW w:w="1085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b w:val="0"/>
                <w:i w:val="0"/>
                <w:caps w:val="0"/>
                <w:smallCaps w:val="0"/>
                <w:strike w:val="0"/>
                <w:dstrike w:val="0"/>
                <w:color w:val="000000"/>
                <w:sz w:val="32"/>
                <w:szCs w:val="32"/>
                <w:u w:val="none"/>
                <w:vertAlign w:val="baseline"/>
              </w:rPr>
            </w:pPr>
            <w:r>
              <w:rPr>
                <w:rFonts w:ascii="仿宋_GB2312" w:eastAsia="仿宋_GB2312" w:cs="Arial"/>
                <w:b w:val="0"/>
                <w:i w:val="0"/>
                <w:caps w:val="0"/>
                <w:smallCaps w:val="0"/>
                <w:strike w:val="0"/>
                <w:dstrike w:val="0"/>
                <w:color w:val="000000"/>
                <w:sz w:val="32"/>
                <w:szCs w:val="32"/>
                <w:u w:val="none"/>
                <w:vertAlign w:val="baseline"/>
              </w:rPr>
              <w:t>表决人意见</w:t>
            </w:r>
          </w:p>
        </w:tc>
      </w:tr>
      <w:tr>
        <w:trPr>
          <w:trHeight w:val="1040"/>
        </w:trPr>
        <w:tc>
          <w:tcPr>
            <w:tcW w:w="30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仿宋_GB2312" w:cs="Arial"/>
                <w:color w:val="000000"/>
                <w:sz w:val="32"/>
                <w:szCs w:val="32"/>
              </w:rPr>
              <w:t>同意</w:t>
            </w:r>
          </w:p>
        </w:tc>
        <w:tc>
          <w:tcPr>
            <w:tcW w:w="44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仿宋_GB2312" w:cs="Arial"/>
                <w:color w:val="000000"/>
                <w:sz w:val="32"/>
                <w:szCs w:val="32"/>
              </w:rPr>
              <w:t>不同意</w:t>
            </w:r>
          </w:p>
        </w:tc>
        <w:tc>
          <w:tcPr>
            <w:tcW w:w="340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仿宋_GB2312" w:cs="Arial"/>
                <w:color w:val="000000"/>
                <w:sz w:val="32"/>
                <w:szCs w:val="32"/>
              </w:rPr>
              <w:t>弃权</w:t>
            </w:r>
          </w:p>
        </w:tc>
      </w:tr>
      <w:tr>
        <w:trPr>
          <w:trHeight w:val="1092"/>
        </w:trPr>
        <w:tc>
          <w:tcPr>
            <w:tcW w:w="30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宋体" w:cs="Arial" w:hAnsi="仿宋_GB2312" w:hint="eastAsia"/>
                <w:color w:val="000000"/>
                <w:sz w:val="32"/>
                <w:szCs w:val="32"/>
              </w:rPr>
              <w:t>□</w:t>
            </w:r>
          </w:p>
        </w:tc>
        <w:tc>
          <w:tcPr>
            <w:tcW w:w="44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宋体" w:cs="Arial" w:hAnsi="仿宋_GB2312" w:hint="eastAsia"/>
                <w:color w:val="000000"/>
                <w:sz w:val="32"/>
                <w:szCs w:val="32"/>
              </w:rPr>
              <w:t>□</w:t>
            </w:r>
          </w:p>
        </w:tc>
        <w:tc>
          <w:tcPr>
            <w:tcW w:w="340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Arial"/>
                <w:color w:val="000000"/>
                <w:sz w:val="32"/>
                <w:szCs w:val="32"/>
              </w:rPr>
            </w:pPr>
            <w:r>
              <w:rPr>
                <w:rFonts w:ascii="仿宋_GB2312" w:eastAsia="宋体" w:cs="Arial" w:hAnsi="仿宋_GB2312" w:hint="eastAsia"/>
                <w:color w:val="000000"/>
                <w:sz w:val="32"/>
                <w:szCs w:val="32"/>
              </w:rPr>
              <w:t>□</w:t>
            </w:r>
          </w:p>
        </w:tc>
      </w:tr>
      <w:tr>
        <w:trPr>
          <w:trHeight w:val="3856"/>
        </w:trPr>
        <w:tc>
          <w:tcPr>
            <w:tcW w:w="10858" w:type="dxa"/>
            <w:gridSpan w:val="3"/>
            <w:tcBorders>
              <w:top w:val="single" w:sz="6" w:space="0" w:color="auto"/>
              <w:left w:val="single" w:sz="6" w:space="0" w:color="auto"/>
              <w:bottom w:val="single" w:sz="6" w:space="0" w:color="auto"/>
              <w:right w:val="single" w:sz="6" w:space="0" w:color="auto"/>
              <w:tl2br w:val="nil"/>
              <w:tr2bl w:val="nil"/>
            </w:tcBorders>
            <w:noWrap/>
          </w:tcPr>
          <w:p>
            <w:pPr>
              <w:jc w:val="both"/>
              <w:rPr>
                <w:rFonts w:ascii="仿宋_GB2312" w:eastAsia="仿宋_GB2312" w:cs="Arial" w:hint="eastAsia"/>
                <w:color w:val="000000"/>
                <w:sz w:val="32"/>
                <w:szCs w:val="32"/>
                <w:lang w:eastAsia="zh-CN"/>
              </w:rPr>
            </w:pPr>
            <w:r>
              <w:rPr>
                <w:rFonts w:ascii="仿宋_GB2312" w:eastAsia="仿宋_GB2312" w:cs="Arial" w:hint="eastAsia"/>
                <w:color w:val="000000"/>
                <w:sz w:val="32"/>
                <w:szCs w:val="32"/>
                <w:lang w:eastAsia="zh-CN"/>
              </w:rPr>
              <w:t>意见及建议：</w:t>
            </w:r>
          </w:p>
        </w:tc>
      </w:tr>
      <w:tr>
        <w:trPr>
          <w:trHeight w:val="781"/>
        </w:trPr>
        <w:tc>
          <w:tcPr>
            <w:tcW w:w="1085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8"/>
              </w:rPr>
            </w:pPr>
            <w:r>
              <w:rPr>
                <w:rFonts w:ascii="仿宋_GB2312" w:eastAsia="仿宋_GB2312" w:cs="Arial"/>
                <w:color w:val="000000"/>
                <w:sz w:val="32"/>
                <w:szCs w:val="32"/>
              </w:rPr>
              <w:t>表决人姓名/单位</w:t>
            </w:r>
          </w:p>
        </w:tc>
      </w:tr>
      <w:tr>
        <w:trPr>
          <w:trHeight w:val="1587"/>
        </w:trPr>
        <w:tc>
          <w:tcPr>
            <w:tcW w:w="10858"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8"/>
              </w:rPr>
            </w:pPr>
          </w:p>
          <w:p>
            <w:pPr>
              <w:jc w:val="both"/>
              <w:rPr>
                <w:rFonts w:ascii="宋体" w:eastAsia="宋体" w:cs="Arial"/>
                <w:color w:val="000000"/>
                <w:sz w:val="28"/>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小标宋简体" w:eastAsia="方正小标宋简体" w:cs="方正小标宋简体" w:hint="eastAsia"/>
          <w:b w:val="0"/>
          <w:bCs w:val="0"/>
          <w:i w:val="0"/>
          <w:caps w:val="0"/>
          <w:smallCaps w:val="0"/>
          <w:color w:val="000000"/>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方正小标宋简体" w:hint="eastAsia"/>
          <w:b w:val="0"/>
          <w:bCs w:val="0"/>
          <w:i w:val="0"/>
          <w:caps w:val="0"/>
          <w:smallCaps w:val="0"/>
          <w:color w:val="000000"/>
          <w:spacing w:val="0"/>
          <w:sz w:val="44"/>
          <w:szCs w:val="44"/>
          <w:shd w:val="clear" w:color="auto" w:fill="FFFFFF"/>
          <w:lang w:val="en-US" w:eastAsia="zh-CN"/>
        </w:rPr>
      </w:pPr>
      <w:r>
        <w:rPr>
          <w:rFonts w:ascii="方正小标宋简体" w:eastAsia="方正小标宋简体" w:cs="方正小标宋简体" w:hint="eastAsia"/>
          <w:b w:val="0"/>
          <w:bCs w:val="0"/>
          <w:i w:val="0"/>
          <w:caps w:val="0"/>
          <w:smallCaps w:val="0"/>
          <w:color w:val="000000"/>
          <w:spacing w:val="0"/>
          <w:sz w:val="44"/>
          <w:szCs w:val="44"/>
          <w:shd w:val="clear" w:color="auto" w:fill="FFFFFF"/>
          <w:lang w:val="en-US" w:eastAsia="zh-CN"/>
        </w:rPr>
        <w:t>鄂尔多斯建筑业协会2022年度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方正小标宋简体" w:hint="eastAsia"/>
          <w:b w:val="0"/>
          <w:bCs w:val="0"/>
          <w:i w:val="0"/>
          <w:caps w:val="0"/>
          <w:smallCaps w:val="0"/>
          <w:color w:val="000000"/>
          <w:spacing w:val="0"/>
          <w:sz w:val="44"/>
          <w:szCs w:val="44"/>
          <w:shd w:val="clear" w:color="auto" w:fill="FFFFFF"/>
          <w:lang w:val="en-US" w:eastAsia="zh-CN"/>
        </w:rPr>
      </w:pPr>
      <w:r>
        <w:rPr>
          <w:rFonts w:ascii="方正小标宋简体" w:eastAsia="方正小标宋简体" w:cs="方正小标宋简体" w:hint="eastAsia"/>
          <w:b w:val="0"/>
          <w:bCs w:val="0"/>
          <w:i w:val="0"/>
          <w:caps w:val="0"/>
          <w:smallCaps w:val="0"/>
          <w:color w:val="000000"/>
          <w:spacing w:val="0"/>
          <w:sz w:val="44"/>
          <w:szCs w:val="44"/>
          <w:shd w:val="clear" w:color="auto" w:fill="FFFFFF"/>
          <w:lang w:val="en-US" w:eastAsia="zh-CN"/>
        </w:rPr>
        <w:t>工作计划（讨论稿）</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 xml:space="preserve">新年伊始，迎来了鄂尔多斯建筑业协会第四届理事会履职的第二年，在刚刚过去的一年里，协会坚持以服务为宗旨，认真务实完成了各项工作，取得了阶段性的工作成果。2022年，协会将继续积极联合我市建筑业各方面力量，持续反应企业诉求，维护企业合法权益，不断开拓和提升服务范围及服务职能，认真完成行业主管部门委托工作，依照《鄂尔多斯建筑业协会2021-2025年工作规划（纲要）》，特制定2022年度工作计划（讨论稿）如下： </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黑体" w:eastAsia="黑体" w:cs="黑体" w:hint="eastAsia"/>
          <w:b w:val="0"/>
          <w:bCs w:val="0"/>
          <w:i w:val="0"/>
          <w:caps w:val="0"/>
          <w:smallCaps w:val="0"/>
          <w:color w:val="000000"/>
          <w:spacing w:val="0"/>
          <w:sz w:val="32"/>
          <w:szCs w:val="32"/>
          <w:shd w:val="clear" w:color="auto" w:fill="FFFFFF"/>
          <w:lang w:val="en-US" w:eastAsia="zh-CN"/>
        </w:rPr>
      </w:pPr>
      <w:r>
        <w:rPr>
          <w:rFonts w:ascii="黑体" w:eastAsia="黑体" w:cs="黑体" w:hint="eastAsia"/>
          <w:b w:val="0"/>
          <w:bCs w:val="0"/>
          <w:i w:val="0"/>
          <w:caps w:val="0"/>
          <w:smallCaps w:val="0"/>
          <w:color w:val="000000"/>
          <w:spacing w:val="0"/>
          <w:sz w:val="32"/>
          <w:szCs w:val="32"/>
          <w:shd w:val="clear" w:color="auto" w:fill="FFFFFF"/>
          <w:lang w:val="en-US" w:eastAsia="zh-CN"/>
        </w:rPr>
        <w:t>一、贴近企业需求，践行民主决策，创新服务方式，拓展服务范围，转变思维、紧抓落实。</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1.以工程创优、技术创新为抓手，着力打造“鄂尔多斯建造”品牌。继续做好鄂尔多斯市优秀企业、优秀企业家、优秀建造师评选工作；按照高质量发展要求，开展奖项设立、信用评价工作开展的前期调研，结合企业实际需求设立相应奖项，制定各奖项开展的评比办法及程序，展开对应工作。鼓励企业紧抓过程质量，应用创新理念，积极参加创优评优，打造精品工程；积极探索开展建设工程全过程质量控制管理咨询，进一步探索完善建设工程质量管理体系，不断提升行业质量管理水平和工程投资效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2.坚持以绿色发展为核心，加大科技推广力度，推动行业智能化、数字化应用，引导企业转型发展。以技术进步支撑绿色建造、智慧建造、BIM技术应用、工法应用、装配式建造等，探索同新中大、广联达、阿里巴巴等第三方专业公司创新合作，逐步打造我市劳务交流、人才交流、材料采购等代表鄂尔多斯建筑业信息化、数字化水平的标志性共享平台，降低企业运营成本，减少资金占用，推动企业顺应时代发展，不断提升建筑行业管理人员水平，探索转型升级之路，壮大我市建筑企业软实力及硬实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黑体" w:eastAsia="黑体" w:cs="黑体" w:hint="eastAsia"/>
          <w:b w:val="0"/>
          <w:bCs w:val="0"/>
          <w:i w:val="0"/>
          <w:caps w:val="0"/>
          <w:smallCaps w:val="0"/>
          <w:color w:val="000000"/>
          <w:spacing w:val="0"/>
          <w:sz w:val="32"/>
          <w:szCs w:val="32"/>
          <w:shd w:val="clear" w:color="auto" w:fill="FFFFFF"/>
          <w:lang w:val="en-US" w:eastAsia="zh-CN"/>
        </w:rPr>
      </w:pPr>
      <w:r>
        <w:rPr>
          <w:rFonts w:ascii="黑体" w:eastAsia="黑体" w:cs="黑体" w:hint="eastAsia"/>
          <w:b w:val="0"/>
          <w:bCs w:val="0"/>
          <w:i w:val="0"/>
          <w:caps w:val="0"/>
          <w:smallCaps w:val="0"/>
          <w:color w:val="000000"/>
          <w:spacing w:val="0"/>
          <w:sz w:val="32"/>
          <w:szCs w:val="32"/>
          <w:shd w:val="clear" w:color="auto" w:fill="FFFFFF"/>
          <w:lang w:val="en-US" w:eastAsia="zh-CN"/>
        </w:rPr>
        <w:t>二、协会常规工作努力做到高效务实、精益求精，当好会员单位的娘家人及行业主管部门的好帮手。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1.发挥桥梁纽带作用，持续将调研作为基础性工作常态化开展，做到企业有诉求，协会有行动，力争有回馈。多渠道多途径同各主管部门对接沟通，为企业排忧解难，为政府部门出谋划策。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2.加强与政府主管部门的沟通与联系，认真完成相关部门委托的各项工作。</w:t>
      </w:r>
      <w:r>
        <w:rPr>
          <w:rFonts w:ascii="仿宋_GB2312" w:eastAsia="仿宋_GB2312" w:cs="仿宋_GB2312" w:hint="eastAsia"/>
          <w:b w:val="0"/>
          <w:i w:val="0"/>
          <w:caps w:val="0"/>
          <w:smallCaps w:val="0"/>
          <w:color w:val="auto"/>
          <w:spacing w:val="0"/>
          <w:sz w:val="32"/>
          <w:szCs w:val="32"/>
          <w:shd w:val="clear" w:color="auto" w:fill="FFFFFF"/>
          <w:lang w:val="en-US" w:eastAsia="zh-CN"/>
        </w:rPr>
        <w:t>发挥协会的专业化以及会员企业集中的优势，积极争取并做好承接政府转移职能及购买服务的各项工作，为政府及行业主管部门提供技术性、标准性、规范性的技术管理服务；</w:t>
      </w:r>
      <w:r>
        <w:rPr>
          <w:rFonts w:ascii="仿宋_GB2312" w:eastAsia="仿宋_GB2312" w:cs="仿宋_GB2312" w:hint="eastAsia"/>
          <w:b w:val="0"/>
          <w:i w:val="0"/>
          <w:caps w:val="0"/>
          <w:smallCaps w:val="0"/>
          <w:color w:val="000000"/>
          <w:spacing w:val="0"/>
          <w:sz w:val="32"/>
          <w:szCs w:val="32"/>
          <w:shd w:val="clear" w:color="auto" w:fill="FFFFFF"/>
          <w:lang w:val="en-US" w:eastAsia="zh-CN"/>
        </w:rPr>
        <w:t>紧跟出台的最新方针政策，协助政府部门联络会员企业，推动促进政策落地执行，提高协会政治站位、胸襟视野等，获得政府部门的指导和大力支持，赢得会员企业的充分信赖和真心拥护。</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3.加强与企业的沟通，结合政府利好政策，上通下达，帮助企业提升竞争力，做大做强。通过大力宣传、鼓励、交流、咨询等服务方式，推动我市建筑业企业应用新技术、新材料、新规范，积极探索以科技进步和技术创新推动建筑业转型升级的有效措施。积极探索互联渠道，搭建中小企业报团取暖，依附有实力的央企、国企等方式走出去参与竞争的平台，拓展发展空间，逐步提高市场占有率，提升自身竞争力。</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4.根据行业热点、难点问题，联合各方力量，不定期为会员企业通过线上线下相结合等方式推出行业新政、企业管理、质量安全、文明施工、职业技能等多层次培训课程；紧贴企业需求，继续举办大型公益培训，为会员企业搭建学习平台，提升企业各级职工的管理水平和专业能力。</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5.围绕建筑业高质量发展，大力开展质量安全活动。举办1-2期质量提升经验交流会，总结推广创精品工程的先进经验，促进工程质量持续提升改进；配合市住建局相关部门做好安全月宣传等专题活动，开展建筑安全生产标准化建设的学习交流活动，提升一线安全管理人员的安全生产标准化建设和施工安全管理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firstLine="640"/>
        <w:jc w:val="both"/>
        <w:textAlignment w:val="auto"/>
        <w:rPr>
          <w:rFonts w:ascii="黑体" w:eastAsia="黑体" w:cs="黑体" w:hint="eastAsia"/>
          <w:b w:val="0"/>
          <w:bCs w:val="0"/>
          <w:i w:val="0"/>
          <w:caps w:val="0"/>
          <w:smallCaps w:val="0"/>
          <w:color w:val="auto"/>
          <w:spacing w:val="0"/>
          <w:sz w:val="32"/>
          <w:szCs w:val="32"/>
          <w:shd w:val="clear" w:color="auto" w:fill="FFFFFF"/>
          <w:lang w:val="en-US" w:eastAsia="zh-CN"/>
        </w:rPr>
      </w:pPr>
      <w:r>
        <w:rPr>
          <w:rFonts w:ascii="黑体" w:eastAsia="黑体" w:cs="黑体" w:hint="eastAsia"/>
          <w:b w:val="0"/>
          <w:bCs w:val="0"/>
          <w:i w:val="0"/>
          <w:caps w:val="0"/>
          <w:smallCaps w:val="0"/>
          <w:color w:val="auto"/>
          <w:spacing w:val="0"/>
          <w:sz w:val="32"/>
          <w:szCs w:val="32"/>
          <w:shd w:val="clear" w:color="auto" w:fill="FFFFFF"/>
          <w:lang w:val="en-US" w:eastAsia="zh-CN"/>
        </w:rPr>
        <w:t>继续加强发挥专业委员会、专家委员会、信用评价委员会的职能，深入开展各项工作，落实鄂尔多斯市建设职业学校培训工作计划，拓展学校相关职能和业务，为我市建筑业企业持续发展、转型升级贡献力量。</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1.专业委员会工作计划：（1）组织1-2次专业委员会工作会议，适时对专委会工作进行梳理和部署；（2）积极开展同专业成员企业之间的沟通交流，互相走访学习，挖掘同专业企业亮点、先进管理方式、生产方式及商业模式，利用协会各宣传媒介，树立先进典型，更好地服务企业发展；（3）根据国家发布的新规范及时组织相关专业企业进行宣贯培训，开展新技术研讨，推广生态、绿色新型材料等；（4）继续进行校企合作，助力校企双向人才输入输出；（5）每年组织1-2次本专业会员企业到本地区或国内外优秀企业学习先进经营管理方式、生产模式、前沿技术，观摩优质工程及创优过程，促进推广应用，通过学习提升企业内涵，开拓企业发展思路。</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2.专家委员会工作计划：重新梳理专家库专家资源，加强专家库信息维护管理；继续发挥专家专、精、尖特长，按照行业发展形势需求，开展至少1次专题讲座，引领我市建筑企业开展创精品工程，推进品牌提升；根据企业反馈在发展中遇到的困惑和难点，提供咨询指导服务，参加团体标准编制工作，解决行业发展技术难题，推进行业技术、管理创新工作；开展多样化专家培训工作，提高专家队伍综合素质和业务能力，为全力助推行业发展提供有力保障。</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3.信用评价委员会工作计划：加强行业自律，规范企业行为，是有效促进建筑业持续健康发展的重要手段。协会信用评价委员会将继续同第三方征信评价机构合作，助力我会会员企业完成低成本、高效能的信用等级评价服务，并提供多层次、全方位的信用咨询服务；拟增设市级行业协会信用等级评价服务，将会员企业信用信息作为评优评先、市场拓展、行业扶持奖励、推荐申报自治区级或国家级行业协会信用等级评价等工作的重要依据。</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4.鄂尔多斯市建设职业培训学校工作计划：</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1）落实国家、自治区及我市相关文件精神，积极开展各类职业技能提升培训，推进职业技能等级认定工作，健全技能人才多元化评价机制，拓宽技术工人成长成才通道，实现企业用工需求和人才需求精准对接；不定期开展建筑施工特种作业人员的培训、鉴定、复核工作；及时准确向行业主管部门申请培训补贴，降低企业和个人参训成本。</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2）积极配合和协助市住建局及各旗区住建局各项培训工作。做好建筑施工企业“安管人员”安全生产管理能力考核提升培训工作，积极争取并做好承接市住建局建筑施工企业“安管人员”安全生产考核工作、施工现场专业人员职业培训与继续教育工作等，承接或协助市住建局开展其他相关培训。</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3）继续加强与专业机构合作办学，全力做好国家注册类职业资格证书考前培训招生工作，树立生源意识，扩大学校办学规模。继续巩固、加强二级建造师、二级造价师、二级注册消防工程师等考前培训招生工作；继续与专业培训机构合作开展一级建造师、一级注册消防工程师、一级造价工程师、监理工程师等考前及继续教育培训班。</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（4）继续与专业机构进行深度合作，联合开展公益、半公益培训，在为企业降低培训费用的同时，推动行业新规政策、行业热点在我市建筑企业中的普及。</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5）在总结前期工作经验的基础上，不断优化服务方式，创新服务手段，有的放矢地开展资质咨询服务工作；学校工作人员在提升“三体系”认证业务知识的基础上，加大与第三方专业机构合作力度，引导企业突破原有框架，寻求新的发展机遇与管理模式；充分利用信息化技术，整合行业专业资源，提高企业联动管理和税务筹划能力及效率，降低企业税务风险，从而提升企业利润空间；继续同专业机构合作开办专科和本科两个层次的成人类远程教育、国家开放大学学历教育。</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6）不定期同行业资深培训学校交流学习，加强横向联系，学习借鉴先进办学理念、办学方式，努力提升学校办学能力，提升办学水平，竭力将学校打造成为我市建筑行业技术工人的高标准培训基地；充分利用现有办学资源，努力提升教学管理、办学条件、师资队伍等，依据市人社局文件要求，筹备变更办学层次相关事宜，满足社会和企业对高素质和高技能应用型人才的需要。</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i w:val="0"/>
          <w:caps w:val="0"/>
          <w:smallCaps w:val="0"/>
          <w:color w:val="auto"/>
          <w:spacing w:val="0"/>
          <w:sz w:val="32"/>
          <w:szCs w:val="32"/>
          <w:shd w:val="clear" w:color="auto" w:fill="FFFFFF"/>
          <w:lang w:val="en-US" w:eastAsia="zh-CN"/>
        </w:rPr>
      </w:pPr>
      <w:r>
        <w:rPr>
          <w:rFonts w:ascii="仿宋_GB2312" w:eastAsia="仿宋_GB2312" w:cs="仿宋_GB2312" w:hint="eastAsia"/>
          <w:b w:val="0"/>
          <w:i w:val="0"/>
          <w:caps w:val="0"/>
          <w:smallCaps w:val="0"/>
          <w:color w:val="auto"/>
          <w:spacing w:val="0"/>
          <w:sz w:val="32"/>
          <w:szCs w:val="32"/>
          <w:shd w:val="clear" w:color="auto" w:fill="FFFFFF"/>
          <w:lang w:val="en-US" w:eastAsia="zh-CN"/>
        </w:rPr>
        <w:t>（7）持续加强学校组织机构、规章制度建设。根据学校的业务职能职责及学校工作规划，健全各项管理制度，完善部门设置、人员配备，规范工作流程，强化内部管理，提高学校工作人员的业务素质，确保各项工作按章办事，规范运行，保证学校的高效运营。</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黑体" w:eastAsia="黑体" w:cs="黑体" w:hint="eastAsia"/>
          <w:b w:val="0"/>
          <w:bCs w:val="0"/>
          <w:i w:val="0"/>
          <w:caps w:val="0"/>
          <w:smallCaps w:val="0"/>
          <w:color w:val="000000"/>
          <w:spacing w:val="0"/>
          <w:sz w:val="32"/>
          <w:szCs w:val="32"/>
          <w:shd w:val="clear" w:color="auto" w:fill="FFFFFF"/>
          <w:lang w:val="en-US" w:eastAsia="zh-CN"/>
        </w:rPr>
      </w:pPr>
      <w:r>
        <w:rPr>
          <w:rFonts w:ascii="黑体" w:eastAsia="黑体" w:cs="黑体" w:hint="eastAsia"/>
          <w:b w:val="0"/>
          <w:bCs w:val="0"/>
          <w:i w:val="0"/>
          <w:caps w:val="0"/>
          <w:smallCaps w:val="0"/>
          <w:color w:val="000000"/>
          <w:spacing w:val="0"/>
          <w:sz w:val="32"/>
          <w:szCs w:val="32"/>
          <w:shd w:val="clear" w:color="auto" w:fill="FFFFFF"/>
          <w:lang w:val="en-US" w:eastAsia="zh-CN"/>
        </w:rPr>
        <w:t>四、继续寻求与友好协会、职业高等院校交流协作，达成各方的合作共赢。</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hint="eastAsia"/>
          <w:b w:val="0"/>
          <w:bCs w:val="0"/>
          <w:i w:val="0"/>
          <w:caps w:val="0"/>
          <w:smallCaps w:val="0"/>
          <w:color w:val="000000"/>
          <w:spacing w:val="0"/>
          <w:sz w:val="32"/>
          <w:szCs w:val="32"/>
          <w:shd w:val="clear" w:color="auto" w:fill="FFFFFF"/>
          <w:lang w:val="en-US" w:eastAsia="zh-CN"/>
        </w:rPr>
      </w:pPr>
      <w:r>
        <w:rPr>
          <w:rFonts w:ascii="仿宋_GB2312" w:eastAsia="仿宋_GB2312" w:cs="仿宋_GB2312" w:hint="eastAsia"/>
          <w:b w:val="0"/>
          <w:bCs w:val="0"/>
          <w:i w:val="0"/>
          <w:caps w:val="0"/>
          <w:smallCaps w:val="0"/>
          <w:color w:val="000000"/>
          <w:spacing w:val="0"/>
          <w:sz w:val="32"/>
          <w:szCs w:val="32"/>
          <w:shd w:val="clear" w:color="auto" w:fill="FFFFFF"/>
          <w:lang w:val="en-US" w:eastAsia="zh-CN"/>
        </w:rPr>
        <w:t>大力推进校、企、协战略合作。推进将职业学校培养出的专业人才，输入行业企业进行实习，理论实践相结合，加深学生对专业基础理论的理解，为学生走向专业岗位奠定专业技能基础，满足企业人才需求；</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仿宋_GB2312" w:eastAsia="仿宋_GB2312" w:cs="仿宋_GB2312"/>
          <w:b w:val="0"/>
          <w:bCs w:val="0"/>
          <w:i w:val="0"/>
          <w:caps w:val="0"/>
          <w:smallCaps w:val="0"/>
          <w:color w:val="000000"/>
          <w:spacing w:val="0"/>
          <w:sz w:val="32"/>
          <w:szCs w:val="32"/>
          <w:shd w:val="clear" w:color="auto" w:fill="FFFFFF"/>
          <w:lang w:val="en-US" w:eastAsia="zh-CN"/>
        </w:rPr>
      </w:pPr>
      <w:r>
        <w:rPr>
          <w:rFonts w:ascii="仿宋_GB2312" w:eastAsia="仿宋_GB2312" w:cs="仿宋_GB2312" w:hint="eastAsia"/>
          <w:b w:val="0"/>
          <w:bCs w:val="0"/>
          <w:i w:val="0"/>
          <w:caps w:val="0"/>
          <w:smallCaps w:val="0"/>
          <w:color w:val="000000"/>
          <w:spacing w:val="0"/>
          <w:sz w:val="32"/>
          <w:szCs w:val="32"/>
          <w:shd w:val="clear" w:color="auto" w:fill="FFFFFF"/>
          <w:lang w:val="en-US" w:eastAsia="zh-CN"/>
        </w:rPr>
        <w:t>同市内外友好协会积极交流联络，达成战略合作协议，为会员企业上下游产业链搭建联谊交流平台，创造合作机遇；组织同其他盟市、省市建筑业协会交流学习1-2次，汲取优秀协会先进工作经验及工作思路，营造积极向上团结和谐的良好工作氛围。</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黑体" w:eastAsia="黑体" w:cs="黑体"/>
          <w:b w:val="0"/>
          <w:bCs w:val="0"/>
          <w:i w:val="0"/>
          <w:caps w:val="0"/>
          <w:smallCaps w:val="0"/>
          <w:color w:val="000000"/>
          <w:spacing w:val="0"/>
          <w:sz w:val="32"/>
          <w:szCs w:val="32"/>
          <w:shd w:val="clear" w:color="auto" w:fill="FFFFFF"/>
          <w:lang w:val="en-US" w:eastAsia="zh-CN"/>
        </w:rPr>
      </w:pPr>
      <w:r>
        <w:rPr>
          <w:rFonts w:ascii="黑体" w:eastAsia="黑体" w:cs="黑体" w:hint="eastAsia"/>
          <w:b w:val="0"/>
          <w:bCs w:val="0"/>
          <w:i w:val="0"/>
          <w:caps w:val="0"/>
          <w:smallCaps w:val="0"/>
          <w:color w:val="000000"/>
          <w:spacing w:val="0"/>
          <w:sz w:val="32"/>
          <w:szCs w:val="32"/>
          <w:shd w:val="clear" w:color="auto" w:fill="FFFFFF"/>
          <w:lang w:val="en-US" w:eastAsia="zh-CN"/>
        </w:rPr>
        <w:t>五、增强协会自身建设，全面提升协会能力素质，在行业和会员企业服务中体现地位和价值。</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1.努力树立协会“务实创新、担当作为”的良好社会形象。利用协会媒介平台或社会媒体力量宣传协会为政府、为会员企业的服务及对社会所做的诸多积极有益的工作，在社会上树立良好形象，扩大行业协会的社会影响力及公信力，提高协会在行业中的话语权。</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2.继续完善秘书处自身建设，健全协会制度机制，促进协会工作不断走向规范化。以多种形式对协会工作人员进行政治时事、政策法规等知识培训，提高职工素质，不断强化协会工作人员的服务意识，提升服务功能，提高服务能力水平，使协会工作逐步走向规范化、标准化和制度化。</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3.加强会员管理工作，应用协会宣传渠道，及时传递会员动态信息及企业诉求；继续扩大会员规模，扩大会员单位覆盖面；优化会员入会流程，提高网上工作效率；加强信息平台建设，及时获取行业动态信息，以协会官网、公众号、简报、QQ工作群为媒介，传播行业新规新政、标准规范，推广企业发展新思路、转型升级新方式，树立行业典型，推广成功经验等。</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黑体" w:eastAsia="黑体" w:cs="黑体" w:hint="eastAsia"/>
          <w:b w:val="0"/>
          <w:bCs w:val="0"/>
          <w:i w:val="0"/>
          <w:caps w:val="0"/>
          <w:smallCaps w:val="0"/>
          <w:color w:val="000000"/>
          <w:spacing w:val="0"/>
          <w:sz w:val="32"/>
          <w:szCs w:val="32"/>
          <w:shd w:val="clear" w:color="auto" w:fill="FFFFFF"/>
          <w:lang w:val="en-US" w:eastAsia="zh-CN"/>
        </w:rPr>
        <w:t>六、党建共建聚合力，会企合作开新局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坚持党的领导，是行业协会商会高质量健康发展的根本保障。协会党组织将继续主动担当作为，发挥引领者作用，联合我市会员企业，共同搭建行使扶贫、抗疫等社会责任的平台，多维度、深层次，用社会责任谱写党建旋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仿宋_GB2312" w:eastAsia="仿宋_GB2312" w:cs="仿宋_GB2312" w:hint="eastAsia"/>
          <w:b w:val="0"/>
          <w:i w:val="0"/>
          <w:caps w:val="0"/>
          <w:smallCaps w:val="0"/>
          <w:color w:val="000000"/>
          <w:spacing w:val="0"/>
          <w:sz w:val="32"/>
          <w:szCs w:val="32"/>
          <w:shd w:val="clear" w:color="auto" w:fill="FFFFFF"/>
          <w:lang w:val="en-US" w:eastAsia="zh-CN"/>
        </w:rPr>
      </w:pPr>
      <w:r>
        <w:rPr>
          <w:rFonts w:ascii="仿宋_GB2312" w:eastAsia="仿宋_GB2312" w:cs="仿宋_GB2312" w:hint="eastAsia"/>
          <w:b w:val="0"/>
          <w:i w:val="0"/>
          <w:caps w:val="0"/>
          <w:smallCaps w:val="0"/>
          <w:color w:val="000000"/>
          <w:spacing w:val="0"/>
          <w:sz w:val="32"/>
          <w:szCs w:val="32"/>
          <w:shd w:val="clear" w:color="auto" w:fill="FFFFFF"/>
          <w:lang w:val="en-US" w:eastAsia="zh-CN"/>
        </w:rPr>
        <w:t>协会党组织还要加强自身学习，并牵头组织会员企业间的结对互学交流，通过不定期组织专题学习、召开专题组织生活会、开展主题党日活动等多种形式，营造团结和谐、进取向上的良好氛围，提高党员的荣誉感和参与度，提高工作人员的思想理论水平和业务工作能力，把学习成效转化为工作动力，以党建共建聚合力，开启新局面。</w:t>
      </w:r>
    </w:p>
    <w:p>
      <w:pPr>
        <w:ind w:left="0"/>
        <w:rPr>
          <w:rFonts w:ascii="仿宋_GB2312" w:eastAsia="仿宋_GB2312" w:cs="仿宋_GB2312"/>
          <w:b w:val="0"/>
          <w:i w:val="0"/>
          <w:caps w:val="0"/>
          <w:smallCaps w:val="0"/>
          <w:color w:val="000000"/>
          <w:spacing w:val="0"/>
          <w:sz w:val="32"/>
          <w:szCs w:val="32"/>
          <w:shd w:val="clear" w:color="auto" w:fill="FFFFFF"/>
          <w:lang w:val="en-US" w:eastAsia="zh-CN"/>
        </w:rPr>
      </w:pPr>
    </w:p>
    <w:p>
      <w:pPr>
        <w:ind w:left="0"/>
        <w:rPr>
          <w:rFonts w:ascii="仿宋_GB2312" w:eastAsia="仿宋_GB2312" w:cs="仿宋_GB2312"/>
          <w:b w:val="0"/>
          <w:i w:val="0"/>
          <w:caps w:val="0"/>
          <w:smallCaps w:val="0"/>
          <w:color w:val="000000"/>
          <w:spacing w:val="0"/>
          <w:sz w:val="32"/>
          <w:szCs w:val="32"/>
          <w:shd w:val="clear" w:color="auto" w:fill="FFFFFF"/>
          <w:lang w:val="en-US" w:eastAsia="zh-CN"/>
        </w:rPr>
      </w:pPr>
    </w:p>
    <w:p>
      <w:pPr>
        <w:ind w:left="0"/>
        <w:rPr>
          <w:rFonts w:ascii="仿宋_GB2312" w:eastAsia="仿宋_GB2312" w:cs="仿宋_GB2312"/>
          <w:b w:val="0"/>
          <w:i w:val="0"/>
          <w:caps w:val="0"/>
          <w:smallCaps w:val="0"/>
          <w:color w:val="000000"/>
          <w:spacing w:val="0"/>
          <w:sz w:val="32"/>
          <w:szCs w:val="32"/>
          <w:shd w:val="clear" w:color="auto" w:fill="FFFFFF"/>
          <w:lang w:val="en-US" w:eastAsia="zh-CN"/>
        </w:rPr>
      </w:pP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02FF" w:usb1="4000ACFF" w:usb2="00000001" w:usb3="00000000" w:csb0="2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25E06B9"/>
    <w:multiLevelType w:val="singleLevel"/>
    <w:tmpl w:val="925E06B9"/>
    <w:lvl w:ilvl="0">
      <w:start w:val="3"/>
      <w:numFmt w:val="chineseCounting"/>
      <w:lvlRestart w:val="0"/>
      <w:suff w:val="nothing"/>
      <w:lvlText w:val="%1、"/>
      <w:lvlJc w:val="left"/>
      <w:pPr>
        <w:ind w:left="-10" w:firstLine="1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kern w:val="44"/>
      <w:sz w:val="44"/>
    </w:rPr>
  </w:style>
  <w:style w:type="paragraph" w:styleId="2">
    <w:name w:val="heading 2"/>
    <w:qFormat/>
    <w:basedOn w:val="0"/>
    <w:next w:val="0"/>
    <w:pPr>
      <w:keepNext/>
      <w:keepLines/>
      <w:spacing w:before="260" w:after="260" w:line="415" w:lineRule="auto"/>
      <w:outlineLvl w:val="1"/>
    </w:pPr>
    <w:rPr>
      <w:rFonts w:ascii="Arial" w:eastAsia="黑体" w:hAnsi="Arial"/>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Yozo_Office27021597764231180</Application>
  <Pages>9</Pages>
  <Words>0</Words>
  <Characters>3276</Characters>
  <Lines>0</Lines>
  <Paragraphs>44</Paragraphs>
  <CharactersWithSpaces>4368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lenovo</cp:lastModifiedBy>
  <cp:revision>1</cp:revision>
  <dcterms:created xsi:type="dcterms:W3CDTF">2022-01-13T07:58:20Z</dcterms:created>
  <dcterms:modified xsi:type="dcterms:W3CDTF">2022-01-13T07:58:41Z</dcterms:modified>
</cp:coreProperties>
</file>