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ind w:leftChars="0"/>
        <w:jc w:val="left"/>
        <w:rPr>
          <w:rFonts w:hint="eastAsia" w:ascii="黑体" w:hAnsi="黑体" w:eastAsia="黑体" w:cs="黑体"/>
          <w:b w:val="0"/>
          <w:bCs w:val="0"/>
          <w:color w:val="000000"/>
          <w:spacing w:val="-14"/>
          <w:kern w:val="0"/>
          <w:sz w:val="32"/>
          <w:szCs w:val="32"/>
          <w:lang w:val="en-US" w:eastAsia="zh-CN"/>
        </w:rPr>
      </w:pPr>
      <w:r>
        <w:rPr>
          <w:rFonts w:hint="eastAsia" w:ascii="黑体" w:hAnsi="黑体" w:eastAsia="黑体" w:cs="黑体"/>
          <w:b w:val="0"/>
          <w:bCs w:val="0"/>
          <w:color w:val="000000"/>
          <w:spacing w:val="-14"/>
          <w:kern w:val="0"/>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内建协〔2021〕53号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关于举办2021年建筑业两会新政、汇算清缴、社保入税及涉税风险梳理应对课程</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各盟市建筑业协会、会员单位及相关建筑业企业：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金三系统的不断升级，金四系统也必将落地。在放管服不断深化的道路上，一波波新举措也悄然来袭，2021年各项新政都让税务处理规则不断的发生着变化。本次课程将带您回顾我们一同走过的2020年，梳理2021年建筑业两会新政、汇算清缴、社保入税和主要风险应对。解读政策，明确业务，理出头绪，确保2021年顺利开局，我会特举办《2021年建筑业两会新政、汇算清缴、社保入税及涉税风险梳理应对课程培训班》，为企业所得税、个人所得税汇算清缴和财税风险防控等工作打下坚实的基础。</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具体事宜通知如下：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各建筑业企业总经理、财务总监、税务总监、财务人员、合同管理人员、法律部负责人及其他相关工作人员等。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（课程大纲及讲师介绍详见附件）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1.培训时间：2021年4月26日--27日（25日报到，26-27日培训）</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2.培训地点：锦和大厦（呼和浩特市赛罕区大学东街长顺路6号）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1.培训费用：会员单位：1100元/人；非会员单位：1800元/人（含资料费、餐费、场地费等），住宿统一安排，费用自理。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2.缴费方式：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（1）现场缴费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（2）银行转账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开户银行：建行呼和浩特东达支行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银行账号：15001706693050000187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开户单位全称：内蒙古自治区建筑业协会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开户行号：105191084082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参会单位于2021年4月23日前将参会人员《报名回执表》以电子邮件反馈至会务组。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会务组联系人：王 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联系电话：15247206780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"http://build.site.hangxintong.cn/xiehuiweb/232269773/files/ueditor/jsp/upload/file/20210323/1616481802346045274.docx" \o "附件：1.参会报名表.docx"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附件：1.参会报名表</w:t>
      </w:r>
      <w:r>
        <w:rPr>
          <w:rFonts w:hint="eastAsia" w:ascii="仿宋_GB2312" w:hAnsi="仿宋_GB2312" w:eastAsia="仿宋_GB2312" w:cs="仿宋_GB2312"/>
          <w:color w:val="auto"/>
          <w:sz w:val="32"/>
          <w:szCs w:val="32"/>
        </w:rPr>
        <w:fldChar w:fldCharType="end"/>
      </w:r>
    </w:p>
    <w:p>
      <w:pPr>
        <w:bidi w:val="0"/>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"http://build.site.hangxintong.cn/xiehuiweb/232269773/files/ueditor/jsp/upload/file/20210323/1616481810717036039.docx" \o "2.讲师及课程简介.docx"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bdr w:val="none" w:color="auto" w:sz="0" w:space="0"/>
        </w:rPr>
        <w:t>2.讲师及课程简介</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2021年3月22日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pPr>
    </w:p>
    <w:p>
      <w:pPr>
        <w:numPr>
          <w:ilvl w:val="0"/>
          <w:numId w:val="0"/>
        </w:numPr>
        <w:spacing w:line="240" w:lineRule="auto"/>
        <w:ind w:leftChars="0"/>
        <w:jc w:val="left"/>
        <w:rPr>
          <w:rFonts w:hint="eastAsia" w:ascii="黑体" w:hAnsi="黑体" w:eastAsia="黑体" w:cs="黑体"/>
          <w:b w:val="0"/>
          <w:bCs w:val="0"/>
          <w:color w:val="000000"/>
          <w:spacing w:val="-14"/>
          <w:kern w:val="0"/>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spacing w:line="240" w:lineRule="auto"/>
        <w:ind w:leftChars="0"/>
        <w:jc w:val="left"/>
        <w:rPr>
          <w:rFonts w:hint="eastAsia" w:ascii="仿宋_GB2312" w:hAnsi="仿宋_GB2312" w:eastAsia="仿宋_GB2312" w:cs="仿宋_GB2312"/>
          <w:b w:val="0"/>
          <w:bCs w:val="0"/>
          <w:color w:val="000000"/>
          <w:spacing w:val="-14"/>
          <w:kern w:val="0"/>
          <w:sz w:val="32"/>
          <w:szCs w:val="32"/>
        </w:rPr>
      </w:pPr>
      <w:r>
        <w:rPr>
          <w:rFonts w:hint="eastAsia" w:ascii="仿宋_GB2312" w:hAnsi="仿宋_GB2312" w:eastAsia="仿宋_GB2312" w:cs="仿宋_GB2312"/>
          <w:b w:val="0"/>
          <w:bCs w:val="0"/>
          <w:color w:val="000000"/>
          <w:spacing w:val="-14"/>
          <w:kern w:val="0"/>
          <w:sz w:val="32"/>
          <w:szCs w:val="32"/>
        </w:rPr>
        <w:t>附件</w:t>
      </w:r>
      <w:r>
        <w:rPr>
          <w:rFonts w:hint="eastAsia" w:ascii="仿宋_GB2312" w:hAnsi="仿宋_GB2312" w:eastAsia="仿宋_GB2312" w:cs="仿宋_GB2312"/>
          <w:b w:val="0"/>
          <w:bCs w:val="0"/>
          <w:color w:val="000000"/>
          <w:spacing w:val="-14"/>
          <w:kern w:val="0"/>
          <w:sz w:val="32"/>
          <w:szCs w:val="32"/>
          <w:lang w:val="en-US" w:eastAsia="zh-CN"/>
        </w:rPr>
        <w:t>1</w:t>
      </w:r>
    </w:p>
    <w:p>
      <w:pPr>
        <w:jc w:val="center"/>
        <w:rPr>
          <w:rFonts w:ascii="仿宋_GB2312" w:eastAsia="仿宋_GB2312"/>
          <w:b/>
          <w:bCs/>
          <w:sz w:val="36"/>
          <w:szCs w:val="36"/>
        </w:rPr>
      </w:pPr>
      <w:r>
        <w:rPr>
          <w:rFonts w:hint="eastAsia" w:ascii="华文中宋" w:hAnsi="华文中宋" w:eastAsia="华文中宋"/>
          <w:b/>
          <w:bCs/>
          <w:sz w:val="36"/>
          <w:szCs w:val="36"/>
        </w:rPr>
        <w:t xml:space="preserve">参会报名表 </w:t>
      </w:r>
    </w:p>
    <w:tbl>
      <w:tblPr>
        <w:tblStyle w:val="5"/>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45"/>
        <w:gridCol w:w="1620"/>
        <w:gridCol w:w="1260"/>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单位名称</w:t>
            </w: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联系电话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通信地址</w:t>
            </w: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邮政编码</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80" w:type="dxa"/>
            <w:vMerge w:val="restart"/>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联系人</w:t>
            </w:r>
          </w:p>
        </w:tc>
        <w:tc>
          <w:tcPr>
            <w:tcW w:w="1545" w:type="dxa"/>
            <w:vMerge w:val="restart"/>
            <w:vAlign w:val="center"/>
          </w:tcPr>
          <w:p>
            <w:pPr>
              <w:spacing w:line="500" w:lineRule="exact"/>
              <w:jc w:val="center"/>
              <w:rPr>
                <w:rFonts w:hint="eastAsia" w:ascii="仿宋_GB2312" w:eastAsia="仿宋_GB2312"/>
                <w:color w:val="333333"/>
                <w:sz w:val="28"/>
                <w:szCs w:val="28"/>
              </w:rPr>
            </w:pPr>
          </w:p>
        </w:tc>
        <w:tc>
          <w:tcPr>
            <w:tcW w:w="162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工作部门</w:t>
            </w:r>
          </w:p>
        </w:tc>
        <w:tc>
          <w:tcPr>
            <w:tcW w:w="1260" w:type="dxa"/>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固定电话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80" w:type="dxa"/>
            <w:vMerge w:val="continue"/>
            <w:vAlign w:val="center"/>
          </w:tcPr>
          <w:p>
            <w:pPr>
              <w:spacing w:line="500" w:lineRule="exact"/>
              <w:jc w:val="center"/>
              <w:rPr>
                <w:rFonts w:hint="eastAsia" w:ascii="仿宋_GB2312" w:eastAsia="仿宋_GB2312"/>
                <w:color w:val="333333"/>
                <w:sz w:val="28"/>
                <w:szCs w:val="28"/>
              </w:rPr>
            </w:pPr>
          </w:p>
        </w:tc>
        <w:tc>
          <w:tcPr>
            <w:tcW w:w="1545" w:type="dxa"/>
            <w:vMerge w:val="continue"/>
            <w:vAlign w:val="center"/>
          </w:tcPr>
          <w:p>
            <w:pPr>
              <w:spacing w:line="500" w:lineRule="exact"/>
              <w:jc w:val="center"/>
              <w:rPr>
                <w:rFonts w:hint="eastAsia" w:ascii="仿宋_GB2312" w:eastAsia="仿宋_GB2312"/>
                <w:color w:val="333333"/>
                <w:sz w:val="28"/>
                <w:szCs w:val="28"/>
              </w:rPr>
            </w:pPr>
          </w:p>
        </w:tc>
        <w:tc>
          <w:tcPr>
            <w:tcW w:w="162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职务/职称</w:t>
            </w:r>
          </w:p>
        </w:tc>
        <w:tc>
          <w:tcPr>
            <w:tcW w:w="1260" w:type="dxa"/>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移动电话</w:t>
            </w: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610" w:type="dxa"/>
            <w:gridSpan w:val="6"/>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姓 名</w:t>
            </w:r>
          </w:p>
        </w:tc>
        <w:tc>
          <w:tcPr>
            <w:tcW w:w="4425" w:type="dxa"/>
            <w:gridSpan w:val="3"/>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工  作  单  位</w:t>
            </w:r>
          </w:p>
        </w:tc>
        <w:tc>
          <w:tcPr>
            <w:tcW w:w="1517"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职务/职称</w:t>
            </w:r>
          </w:p>
        </w:tc>
        <w:tc>
          <w:tcPr>
            <w:tcW w:w="1988" w:type="dxa"/>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p>
        </w:tc>
        <w:tc>
          <w:tcPr>
            <w:tcW w:w="4425" w:type="dxa"/>
            <w:gridSpan w:val="3"/>
            <w:vAlign w:val="center"/>
          </w:tcPr>
          <w:p>
            <w:pPr>
              <w:spacing w:line="500" w:lineRule="exact"/>
              <w:jc w:val="center"/>
              <w:rPr>
                <w:rFonts w:hint="eastAsia" w:ascii="仿宋_GB2312" w:eastAsia="仿宋_GB2312"/>
                <w:color w:val="333333"/>
                <w:sz w:val="28"/>
                <w:szCs w:val="28"/>
              </w:rPr>
            </w:pPr>
          </w:p>
        </w:tc>
        <w:tc>
          <w:tcPr>
            <w:tcW w:w="1517" w:type="dxa"/>
            <w:vAlign w:val="center"/>
          </w:tcPr>
          <w:p>
            <w:pPr>
              <w:spacing w:line="500" w:lineRule="exact"/>
              <w:jc w:val="center"/>
              <w:rPr>
                <w:rFonts w:hint="eastAsia" w:ascii="仿宋_GB2312" w:eastAsia="仿宋_GB2312"/>
                <w:color w:val="333333"/>
                <w:sz w:val="28"/>
                <w:szCs w:val="28"/>
              </w:rPr>
            </w:pPr>
          </w:p>
        </w:tc>
        <w:tc>
          <w:tcPr>
            <w:tcW w:w="1988" w:type="dxa"/>
            <w:vAlign w:val="center"/>
          </w:tcPr>
          <w:p>
            <w:pPr>
              <w:spacing w:line="500" w:lineRule="exact"/>
              <w:jc w:val="center"/>
              <w:rPr>
                <w:rFonts w:hint="eastAsia" w:ascii="仿宋_GB2312" w:eastAsia="仿宋_GB2312"/>
                <w:color w:val="333333"/>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lang w:val="en-US" w:eastAsia="zh-CN"/>
              </w:rPr>
              <w:t>是否</w:t>
            </w:r>
            <w:r>
              <w:rPr>
                <w:rFonts w:hint="eastAsia" w:ascii="仿宋_GB2312" w:eastAsia="仿宋_GB2312"/>
                <w:color w:val="333333"/>
                <w:sz w:val="28"/>
                <w:szCs w:val="28"/>
              </w:rPr>
              <w:t>住宿</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（请打√）</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eastAsia="zh-CN"/>
              </w:rPr>
              <w:sym w:font="Wingdings 2" w:char="00A3"/>
            </w:r>
            <w:r>
              <w:rPr>
                <w:rFonts w:hint="eastAsia" w:ascii="仿宋_GB2312" w:eastAsia="仿宋_GB2312"/>
                <w:color w:val="333333"/>
                <w:sz w:val="28"/>
                <w:szCs w:val="28"/>
              </w:rPr>
              <w:t>标间</w:t>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□单间</w:t>
            </w:r>
            <w:r>
              <w:rPr>
                <w:rFonts w:hint="eastAsia" w:ascii="仿宋_GB2312" w:eastAsia="仿宋_GB2312"/>
                <w:color w:val="333333"/>
                <w:sz w:val="28"/>
                <w:szCs w:val="28"/>
                <w:lang w:val="en-US" w:eastAsia="zh-CN"/>
              </w:rPr>
              <w:t xml:space="preserve">      </w:t>
            </w:r>
            <w:r>
              <w:rPr>
                <w:rFonts w:hint="eastAsia" w:ascii="仿宋_GB2312" w:eastAsia="仿宋_GB2312"/>
                <w:color w:val="333333"/>
                <w:sz w:val="28"/>
                <w:szCs w:val="28"/>
              </w:rPr>
              <w:t>□</w:t>
            </w:r>
            <w:r>
              <w:rPr>
                <w:rFonts w:hint="eastAsia" w:ascii="仿宋_GB2312" w:eastAsia="仿宋_GB2312"/>
                <w:color w:val="333333"/>
                <w:sz w:val="28"/>
                <w:szCs w:val="28"/>
                <w:lang w:val="en-US" w:eastAsia="zh-CN"/>
              </w:rPr>
              <w:t>不住宿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付款方式</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sym w:font="Wingdings 2" w:char="00A3"/>
            </w:r>
            <w:r>
              <w:rPr>
                <w:rFonts w:hint="eastAsia" w:ascii="仿宋_GB2312" w:eastAsia="仿宋_GB2312"/>
                <w:color w:val="333333"/>
                <w:sz w:val="28"/>
                <w:szCs w:val="28"/>
                <w:lang w:val="en-US" w:eastAsia="zh-CN"/>
              </w:rPr>
              <w:t>银行转账          □现金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指定收</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款账户</w:t>
            </w:r>
          </w:p>
        </w:tc>
        <w:tc>
          <w:tcPr>
            <w:tcW w:w="7930" w:type="dxa"/>
            <w:gridSpan w:val="5"/>
            <w:vAlign w:val="center"/>
          </w:tcPr>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开户银行：建行呼和浩特东达支行</w:t>
            </w:r>
          </w:p>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银行账号：15001706693050000187</w:t>
            </w:r>
          </w:p>
          <w:p>
            <w:pPr>
              <w:spacing w:line="500" w:lineRule="exact"/>
              <w:jc w:val="center"/>
              <w:rPr>
                <w:rFonts w:hint="eastAsia" w:ascii="仿宋_GB2312" w:eastAsia="仿宋_GB2312"/>
                <w:color w:val="333333"/>
                <w:sz w:val="28"/>
                <w:szCs w:val="28"/>
                <w:lang w:val="en-US" w:eastAsia="zh-CN"/>
              </w:rPr>
            </w:pPr>
            <w:r>
              <w:rPr>
                <w:rFonts w:hint="eastAsia" w:ascii="仿宋_GB2312" w:eastAsia="仿宋_GB2312"/>
                <w:color w:val="333333"/>
                <w:sz w:val="28"/>
                <w:szCs w:val="28"/>
                <w:lang w:val="en-US" w:eastAsia="zh-CN"/>
              </w:rPr>
              <w:t>开户单位全称：内蒙古自治区建筑业协会</w:t>
            </w:r>
          </w:p>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lang w:val="en-US" w:eastAsia="zh-CN"/>
              </w:rPr>
              <w:t>开户行号：105191084082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hint="eastAsia" w:ascii="仿宋_GB2312" w:eastAsia="仿宋_GB2312"/>
                <w:color w:val="333333"/>
                <w:sz w:val="28"/>
                <w:szCs w:val="28"/>
              </w:rPr>
            </w:pPr>
            <w:r>
              <w:rPr>
                <w:rFonts w:hint="eastAsia" w:ascii="仿宋_GB2312" w:eastAsia="仿宋_GB2312"/>
                <w:color w:val="333333"/>
                <w:sz w:val="28"/>
                <w:szCs w:val="28"/>
              </w:rPr>
              <w:t>备  注</w:t>
            </w:r>
          </w:p>
        </w:tc>
        <w:tc>
          <w:tcPr>
            <w:tcW w:w="7930" w:type="dxa"/>
            <w:gridSpan w:val="5"/>
            <w:vAlign w:val="center"/>
          </w:tcPr>
          <w:p>
            <w:pPr>
              <w:spacing w:line="500" w:lineRule="exact"/>
              <w:jc w:val="center"/>
              <w:rPr>
                <w:rFonts w:hint="eastAsia" w:ascii="仿宋_GB2312" w:eastAsia="仿宋_GB2312"/>
                <w:color w:val="333333"/>
                <w:sz w:val="28"/>
                <w:szCs w:val="28"/>
                <w:lang w:eastAsia="zh-CN"/>
              </w:rPr>
            </w:pPr>
            <w:r>
              <w:rPr>
                <w:rFonts w:hint="eastAsia" w:ascii="仿宋_GB2312" w:eastAsia="仿宋_GB2312"/>
                <w:color w:val="333333"/>
                <w:sz w:val="28"/>
                <w:szCs w:val="28"/>
              </w:rPr>
              <w:t>请于</w:t>
            </w:r>
            <w:r>
              <w:rPr>
                <w:rFonts w:hint="eastAsia" w:ascii="仿宋_GB2312" w:eastAsia="仿宋_GB2312"/>
                <w:color w:val="333333"/>
                <w:sz w:val="28"/>
                <w:szCs w:val="28"/>
                <w:lang w:val="en-US" w:eastAsia="zh-CN"/>
              </w:rPr>
              <w:t>4</w:t>
            </w:r>
            <w:r>
              <w:rPr>
                <w:rFonts w:hint="eastAsia" w:ascii="仿宋_GB2312" w:eastAsia="仿宋_GB2312"/>
                <w:color w:val="333333"/>
                <w:sz w:val="28"/>
                <w:szCs w:val="28"/>
              </w:rPr>
              <w:t>月</w:t>
            </w:r>
            <w:r>
              <w:rPr>
                <w:rFonts w:hint="eastAsia" w:ascii="仿宋_GB2312" w:eastAsia="仿宋_GB2312"/>
                <w:color w:val="333333"/>
                <w:sz w:val="28"/>
                <w:szCs w:val="28"/>
                <w:lang w:val="en-US" w:eastAsia="zh-CN"/>
              </w:rPr>
              <w:t>23</w:t>
            </w:r>
            <w:r>
              <w:rPr>
                <w:rFonts w:hint="eastAsia" w:ascii="仿宋_GB2312" w:eastAsia="仿宋_GB2312"/>
                <w:color w:val="333333"/>
                <w:sz w:val="28"/>
                <w:szCs w:val="28"/>
              </w:rPr>
              <w:t>日前发</w:t>
            </w:r>
            <w:r>
              <w:rPr>
                <w:rFonts w:hint="eastAsia" w:ascii="仿宋_GB2312" w:eastAsia="仿宋_GB2312"/>
                <w:color w:val="333333"/>
                <w:sz w:val="28"/>
                <w:szCs w:val="28"/>
                <w:lang w:val="en-US" w:eastAsia="zh-CN"/>
              </w:rPr>
              <w:t>送</w:t>
            </w:r>
            <w:r>
              <w:rPr>
                <w:rFonts w:hint="eastAsia" w:ascii="仿宋_GB2312" w:eastAsia="仿宋_GB2312"/>
                <w:color w:val="333333"/>
                <w:sz w:val="28"/>
                <w:szCs w:val="28"/>
              </w:rPr>
              <w:t>电子邮件至我会</w:t>
            </w:r>
            <w:r>
              <w:rPr>
                <w:rFonts w:hint="eastAsia" w:ascii="仿宋_GB2312" w:eastAsia="仿宋_GB2312"/>
                <w:color w:val="333333"/>
                <w:sz w:val="28"/>
                <w:szCs w:val="28"/>
                <w:lang w:eastAsia="zh-CN"/>
              </w:rPr>
              <w:t>（</w:t>
            </w:r>
            <w:r>
              <w:rPr>
                <w:rFonts w:hint="eastAsia" w:ascii="仿宋_GB2312" w:eastAsia="仿宋_GB2312"/>
                <w:color w:val="333333"/>
                <w:sz w:val="28"/>
                <w:szCs w:val="28"/>
                <w:lang w:val="en-US" w:eastAsia="zh-CN"/>
              </w:rPr>
              <w:t>nmjxhyfw@163.com</w:t>
            </w:r>
            <w:r>
              <w:rPr>
                <w:rFonts w:hint="eastAsia" w:ascii="仿宋_GB2312" w:eastAsia="仿宋_GB2312"/>
                <w:color w:val="333333"/>
                <w:sz w:val="28"/>
                <w:szCs w:val="28"/>
                <w:lang w:eastAsia="zh-CN"/>
              </w:rPr>
              <w:t>）</w:t>
            </w:r>
          </w:p>
        </w:tc>
      </w:tr>
    </w:tbl>
    <w:p>
      <w:pPr>
        <w:jc w:val="left"/>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_GB2312" w:hAnsi="仿宋_GB2312" w:eastAsia="仿宋_GB2312" w:cs="仿宋_GB2312"/>
          <w:b w:val="0"/>
          <w:bCs w:val="0"/>
          <w:color w:val="000000"/>
          <w:spacing w:val="-14"/>
          <w:kern w:val="0"/>
          <w:sz w:val="32"/>
          <w:szCs w:val="32"/>
          <w:lang w:val="en-US" w:eastAsia="zh-CN" w:bidi="ar-SA"/>
        </w:rPr>
      </w:pPr>
      <w:r>
        <w:rPr>
          <w:rFonts w:hint="eastAsia" w:ascii="仿宋_GB2312" w:hAnsi="仿宋_GB2312" w:eastAsia="仿宋_GB2312" w:cs="仿宋_GB2312"/>
          <w:b w:val="0"/>
          <w:bCs w:val="0"/>
          <w:color w:val="000000"/>
          <w:spacing w:val="-14"/>
          <w:kern w:val="0"/>
          <w:sz w:val="32"/>
          <w:szCs w:val="32"/>
          <w:lang w:val="en-US" w:eastAsia="zh-CN" w:bidi="ar-SA"/>
        </w:rPr>
        <w:t>附件2</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宋体" w:hAnsi="宋体" w:eastAsia="宋体" w:cs="宋体"/>
          <w:b/>
          <w:bCs/>
          <w:color w:val="000000"/>
          <w:spacing w:val="-14"/>
          <w:kern w:val="0"/>
          <w:sz w:val="32"/>
          <w:szCs w:val="32"/>
          <w:lang w:val="en-US" w:eastAsia="zh-CN" w:bidi="ar-SA"/>
        </w:rPr>
      </w:pPr>
      <w:r>
        <w:rPr>
          <w:rFonts w:hint="eastAsia" w:ascii="宋体" w:hAnsi="宋体" w:eastAsia="宋体" w:cs="宋体"/>
          <w:b/>
          <w:bCs/>
          <w:color w:val="000000"/>
          <w:spacing w:val="-14"/>
          <w:kern w:val="0"/>
          <w:sz w:val="32"/>
          <w:szCs w:val="32"/>
          <w:lang w:val="en-US" w:eastAsia="zh-CN" w:bidi="ar-SA"/>
        </w:rPr>
        <w:t>讲师及课程简介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仿宋" w:hAnsi="仿宋" w:eastAsia="仿宋" w:cs="仿宋"/>
          <w:i w:val="0"/>
          <w:caps w:val="0"/>
          <w:color w:val="auto"/>
          <w:spacing w:val="0"/>
          <w:sz w:val="32"/>
          <w:szCs w:val="32"/>
          <w:lang w:eastAsia="zh-CN"/>
        </w:rPr>
      </w:pPr>
      <w:r>
        <w:rPr>
          <w:rStyle w:val="8"/>
          <w:rFonts w:hint="eastAsia" w:ascii="仿宋" w:hAnsi="仿宋" w:eastAsia="仿宋" w:cs="仿宋"/>
          <w:b/>
          <w:i w:val="0"/>
          <w:caps w:val="0"/>
          <w:color w:val="auto"/>
          <w:spacing w:val="0"/>
          <w:sz w:val="32"/>
          <w:szCs w:val="32"/>
        </w:rPr>
        <w:t>【主讲老师】</w:t>
      </w:r>
      <w:r>
        <w:rPr>
          <w:rFonts w:hint="eastAsia" w:ascii="仿宋" w:hAnsi="仿宋" w:eastAsia="仿宋" w:cs="仿宋"/>
          <w:i w:val="0"/>
          <w:caps w:val="0"/>
          <w:color w:val="auto"/>
          <w:spacing w:val="0"/>
          <w:sz w:val="32"/>
          <w:szCs w:val="32"/>
        </w:rPr>
        <w:t>莫</w:t>
      </w:r>
      <w:r>
        <w:rPr>
          <w:rFonts w:hint="eastAsia" w:ascii="仿宋" w:hAnsi="仿宋" w:eastAsia="仿宋" w:cs="仿宋"/>
          <w:i w:val="0"/>
          <w:caps w:val="0"/>
          <w:color w:val="auto"/>
          <w:spacing w:val="0"/>
          <w:sz w:val="32"/>
          <w:szCs w:val="32"/>
          <w:lang w:val="en-US" w:eastAsia="zh-CN"/>
        </w:rPr>
        <w:t>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00" w:firstLineChars="200"/>
        <w:textAlignment w:val="auto"/>
        <w:outlineLvl w:val="9"/>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auto"/>
          <w:spacing w:val="0"/>
          <w:sz w:val="30"/>
          <w:szCs w:val="30"/>
        </w:rPr>
        <w:t>注册税务师，国家税务总局师资人才库成员。曾多次参与税务总局相关教程的编写。长期从事税收实务教学工作，洞悉各类疑点，擅长解决企业涉税疑难问题。资深财税专家，讲课经验丰富，深受学员好评。</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【课程收益】</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盘点近期财税新政，</w:t>
      </w:r>
      <w:bookmarkStart w:id="0" w:name="_Hlk59121075"/>
      <w:r>
        <w:rPr>
          <w:rFonts w:hint="eastAsia" w:ascii="仿宋" w:hAnsi="仿宋" w:eastAsia="仿宋" w:cs="仿宋"/>
          <w:i w:val="0"/>
          <w:caps w:val="0"/>
          <w:color w:val="auto"/>
          <w:spacing w:val="0"/>
          <w:kern w:val="0"/>
          <w:sz w:val="30"/>
          <w:szCs w:val="30"/>
          <w:lang w:val="en-US" w:eastAsia="zh-CN" w:bidi="ar"/>
        </w:rPr>
        <w:t>解读政策内涵</w:t>
      </w:r>
      <w:bookmarkEnd w:id="0"/>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解析税政处理方式，</w:t>
      </w:r>
      <w:bookmarkStart w:id="1" w:name="_Hlk59121093"/>
      <w:r>
        <w:rPr>
          <w:rFonts w:hint="eastAsia" w:ascii="仿宋" w:hAnsi="仿宋" w:eastAsia="仿宋" w:cs="仿宋"/>
          <w:i w:val="0"/>
          <w:caps w:val="0"/>
          <w:color w:val="auto"/>
          <w:spacing w:val="0"/>
          <w:kern w:val="0"/>
          <w:sz w:val="30"/>
          <w:szCs w:val="30"/>
          <w:lang w:val="en-US" w:eastAsia="zh-CN" w:bidi="ar"/>
        </w:rPr>
        <w:t>防控财税风险</w:t>
      </w:r>
      <w:bookmarkEnd w:id="1"/>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确保财务数据准确，</w:t>
      </w:r>
      <w:bookmarkStart w:id="2" w:name="_Hlk59121116"/>
      <w:r>
        <w:rPr>
          <w:rFonts w:hint="eastAsia" w:ascii="仿宋" w:hAnsi="仿宋" w:eastAsia="仿宋" w:cs="仿宋"/>
          <w:i w:val="0"/>
          <w:caps w:val="0"/>
          <w:color w:val="auto"/>
          <w:spacing w:val="0"/>
          <w:kern w:val="0"/>
          <w:sz w:val="30"/>
          <w:szCs w:val="30"/>
          <w:lang w:val="en-US" w:eastAsia="zh-CN" w:bidi="ar"/>
        </w:rPr>
        <w:t>打好汇算基础</w:t>
      </w:r>
      <w:bookmarkEnd w:id="2"/>
      <w:r>
        <w:rPr>
          <w:rFonts w:hint="eastAsia" w:ascii="仿宋" w:hAnsi="仿宋" w:eastAsia="仿宋" w:cs="仿宋"/>
          <w:i w:val="0"/>
          <w:caps w:val="0"/>
          <w:color w:val="auto"/>
          <w:spacing w:val="0"/>
          <w:kern w:val="0"/>
          <w:sz w:val="30"/>
          <w:szCs w:val="30"/>
          <w:lang w:val="en-US" w:eastAsia="zh-CN" w:bidi="ar"/>
        </w:rPr>
        <w:t>；</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0"/>
          <w:szCs w:val="30"/>
          <w:lang w:val="en-US" w:eastAsia="zh-CN" w:bidi="ar"/>
        </w:rPr>
        <w:t>了解社保入税新规，把握税务动向</w:t>
      </w:r>
      <w:r>
        <w:rPr>
          <w:rFonts w:hint="eastAsia" w:ascii="仿宋" w:hAnsi="仿宋" w:eastAsia="仿宋" w:cs="仿宋"/>
          <w:i w:val="0"/>
          <w:caps w:val="0"/>
          <w:color w:val="auto"/>
          <w:spacing w:val="0"/>
          <w:kern w:val="0"/>
          <w:sz w:val="32"/>
          <w:szCs w:val="32"/>
          <w:lang w:val="en-US" w:eastAsia="zh-CN" w:bidi="ar"/>
        </w:rPr>
        <w:t>。</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rPr>
        <w:t>【课程背景】</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2021年新的减税降费政策您了解吗？——3月5日李克强总理作的《政府工作报告》又有新的减税降费政策了。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您知道吗？年度、季度企业所得税申报表又改了——《国家税务总局关于修订企业所得税年度纳税申报表的公告》（国家税务总局公告2020年第24号）、国家税务总局关于发布《中华人民共和国企业所得税月（季）度预缴纳税申报表（A类）》的公告（国家税务总局公告2021年第3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这些个人所得税新政你了解吗？——《关于进一步简便优化部分纳税人个人所得税预扣预缴方法的公告》（国家税务总局公告2020年第19号）、《国家税务总局关于办理2020年度个人所得税综合所得汇算清缴事项的公告》（国家税务总局公告2021年第2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随着金三系统的不断升级，金四系统也必将落地。在放管服不断深化的道路上，一波波新举措也随之悄然来袭。2021年各项最新实施或者出台的新政，都让税务处理规则不断的发生着变化。本次课程将带您回顾我们一同走过的2020，梳理2021年建筑业两会新政、汇算清缴、社保入税和主要风险应对。解读政策，明确业务，理出头绪，保证2021年顺利开局。在2021年的关键时间节点，至关重要的工作就是对企业一年来的账务，数据表间逻辑风险防控等工作进行重点政策实施应用的盘点。确保账内数据无误，表间关系合理，做好财税风险防控，为企业所得税、个人所得税汇算清缴工作打下坚实的基础。</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本课程特邀财税政策研究专家，为您解读最新财税政策。让您对税政变化了如指掌，合理有效控制企业税负、守住财富！</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【课程亮点】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1、帮您了解最新征管环境、征管手段及财税规划；</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2、助您了解最新税收政策给企业带来的影响；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3、让您掌握税收风险控制的方法；</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4、让您掌握财税合规调整技巧；</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5、现场回答您关心和担心的热点问题。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val="0"/>
          <w:color w:val="auto"/>
          <w:sz w:val="28"/>
          <w:szCs w:val="28"/>
        </w:rPr>
      </w:pPr>
    </w:p>
    <w:p>
      <w:pPr>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val="0"/>
          <w:color w:val="FF0000"/>
          <w:sz w:val="28"/>
          <w:szCs w:val="28"/>
        </w:rPr>
      </w:pPr>
      <w:r>
        <w:rPr>
          <w:rFonts w:hint="eastAsia" w:ascii="宋体" w:hAnsi="宋体" w:eastAsia="宋体" w:cs="宋体"/>
          <w:b/>
          <w:bCs w:val="0"/>
          <w:color w:val="auto"/>
          <w:sz w:val="28"/>
          <w:szCs w:val="28"/>
        </w:rPr>
        <w:t>【课程大纲】</w:t>
      </w:r>
    </w:p>
    <w:p>
      <w:pPr>
        <w:keepNext w:val="0"/>
        <w:keepLines w:val="0"/>
        <w:pageBreakBefore w:val="0"/>
        <w:numPr>
          <w:ilvl w:val="0"/>
          <w:numId w:val="0"/>
        </w:numPr>
        <w:kinsoku/>
        <w:wordWrap/>
        <w:overflowPunct/>
        <w:topLinePunct w:val="0"/>
        <w:autoSpaceDE/>
        <w:autoSpaceDN/>
        <w:bidi w:val="0"/>
        <w:spacing w:line="360" w:lineRule="auto"/>
        <w:ind w:left="-360" w:leftChars="0"/>
        <w:jc w:val="center"/>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32"/>
          <w:szCs w:val="32"/>
        </w:rPr>
        <w:t xml:space="preserve">第一部分  </w:t>
      </w:r>
      <w:r>
        <w:rPr>
          <w:rFonts w:hint="eastAsia" w:ascii="宋体" w:hAnsi="宋体" w:eastAsia="宋体" w:cs="宋体"/>
          <w:b/>
          <w:bCs w:val="0"/>
          <w:sz w:val="32"/>
          <w:szCs w:val="32"/>
          <w:lang w:val="en-US" w:eastAsia="zh-CN"/>
        </w:rPr>
        <w:t>两会新政</w:t>
      </w:r>
    </w:p>
    <w:p>
      <w:pPr>
        <w:keepNext w:val="0"/>
        <w:keepLines w:val="0"/>
        <w:pageBreakBefore w:val="0"/>
        <w:widowControl w:val="0"/>
        <w:numPr>
          <w:ilvl w:val="0"/>
          <w:numId w:val="2"/>
        </w:numPr>
        <w:kinsoku/>
        <w:wordWrap/>
        <w:overflowPunct/>
        <w:topLinePunct w:val="0"/>
        <w:autoSpaceDE/>
        <w:autoSpaceDN/>
        <w:bidi w:val="0"/>
        <w:spacing w:line="360" w:lineRule="auto"/>
        <w:ind w:left="642" w:leftChars="0" w:firstLine="0" w:firstLineChars="0"/>
        <w:jc w:val="both"/>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税收部分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1、继续执行制度性减税政策，延长小规模纳税人增值税优惠等部分阶段性政策执行期限。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将小规模纳税人增值税起征点从月销售额10万元提高到15万元。对小微企业和个体工商户年应纳税所得额不到100万元的部分，在现行优惠政策基础上，再减半征收所得税。（注：19年小规模纳税人增值税起征点从月销售额3万元提高到10万元）</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3、对不裁员少裁员的企业，继续给予必要的财税、金融等政策支持。</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4、精简享受税费优惠政策的办理流程和手续。</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5、延续执行企业研发费用加计扣除75%政策，将制造业企 业加计扣除比例提高到100%。</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6、对先进制造业企业按月全额退还增值税增量留抵税额。</w:t>
      </w:r>
    </w:p>
    <w:p>
      <w:pPr>
        <w:keepNext w:val="0"/>
        <w:keepLines w:val="0"/>
        <w:pageBreakBefore w:val="0"/>
        <w:widowControl w:val="0"/>
        <w:numPr>
          <w:ilvl w:val="0"/>
          <w:numId w:val="2"/>
        </w:numPr>
        <w:kinsoku/>
        <w:wordWrap/>
        <w:overflowPunct/>
        <w:topLinePunct w:val="0"/>
        <w:autoSpaceDE/>
        <w:autoSpaceDN/>
        <w:bidi w:val="0"/>
        <w:spacing w:line="360" w:lineRule="auto"/>
        <w:ind w:left="642" w:leftChars="0" w:firstLine="0" w:firstLineChars="0"/>
        <w:jc w:val="both"/>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社保部分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1、继续降低失业和工伤保险费率，扩大失业保险返还等阶段性稳岗政策惠及范围，</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2、提高退休人员基本养老金、优抚对象抚恤和生活补助标准。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3、推进养老保险全国统筹，规范发展第三支柱养老保险。</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4、完善全国统一的社会保险公共服务平台。</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5、加强军人军属、退役军人和其他优抚对象优待工作，健全退役军人工作体系和保障制度。</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6、继续实施失业保险保障扩围政策。促进医养康养相结合，稳步推进长期护理保险制度试点。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7、继续对灵活就业人员给予社保补贴，推动放开在就业地参加社会保险的户籍限制。</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sz w:val="28"/>
          <w:szCs w:val="28"/>
          <w:lang w:val="en-US" w:eastAsia="zh-CN"/>
        </w:rPr>
      </w:pPr>
      <w:r>
        <w:rPr>
          <w:rFonts w:hint="eastAsia" w:ascii="仿宋" w:hAnsi="仿宋" w:eastAsia="仿宋" w:cs="仿宋"/>
          <w:i w:val="0"/>
          <w:caps w:val="0"/>
          <w:color w:val="auto"/>
          <w:spacing w:val="0"/>
          <w:kern w:val="0"/>
          <w:sz w:val="30"/>
          <w:szCs w:val="30"/>
          <w:lang w:val="en-US" w:eastAsia="zh-CN" w:bidi="ar"/>
        </w:rPr>
        <w:t>8、居民医保和基本公共卫生服务经费人均财政补助标准分别再增加30元和5元。</w:t>
      </w:r>
    </w:p>
    <w:p>
      <w:pPr>
        <w:keepNext w:val="0"/>
        <w:keepLines w:val="0"/>
        <w:pageBreakBefore w:val="0"/>
        <w:numPr>
          <w:ilvl w:val="0"/>
          <w:numId w:val="3"/>
        </w:numPr>
        <w:kinsoku/>
        <w:wordWrap/>
        <w:overflowPunct/>
        <w:topLinePunct w:val="0"/>
        <w:autoSpaceDE/>
        <w:autoSpaceDN/>
        <w:bidi w:val="0"/>
        <w:spacing w:line="360" w:lineRule="auto"/>
        <w:ind w:left="0"/>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第二部分    建筑业</w:t>
      </w:r>
      <w:r>
        <w:rPr>
          <w:rFonts w:hint="eastAsia" w:ascii="宋体" w:hAnsi="宋体" w:eastAsia="宋体" w:cs="宋体"/>
          <w:b/>
          <w:sz w:val="32"/>
          <w:szCs w:val="32"/>
        </w:rPr>
        <w:t>企业所得税汇算清缴</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sz w:val="28"/>
          <w:szCs w:val="28"/>
        </w:rPr>
      </w:pPr>
      <w:r>
        <w:rPr>
          <w:rFonts w:hint="eastAsia" w:ascii="宋体" w:hAnsi="宋体" w:eastAsia="宋体" w:cs="宋体"/>
          <w:b/>
          <w:sz w:val="32"/>
          <w:szCs w:val="32"/>
        </w:rPr>
        <w:t>一、</w:t>
      </w:r>
      <w:bookmarkStart w:id="3" w:name="_Hlk59128579"/>
      <w:r>
        <w:rPr>
          <w:rFonts w:hint="eastAsia" w:ascii="宋体" w:hAnsi="宋体" w:eastAsia="宋体" w:cs="宋体"/>
          <w:b/>
          <w:sz w:val="32"/>
          <w:szCs w:val="32"/>
        </w:rPr>
        <w:t>近期主要企业所得税政策解读</w:t>
      </w:r>
    </w:p>
    <w:bookmarkEnd w:id="3"/>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（一）建筑业疫情期间固定资产加速折旧是如何规定必须要享受吗？如何判断企业享受还是不享受？有什么利弊？</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（二）已经到期的固定资产加速折旧政策的实施要点有哪些？如何选择享受，都需要注意哪些问题？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 xml:space="preserve">（三）建筑业企业所得税主要纳税调整事项 </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（四）建筑业可以研发费用加计扣除吗？</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（五）建筑公司未取得合规发票如何补救？补开、换开发票、其他扣税凭证的期限？</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二、202</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建筑业</w:t>
      </w:r>
      <w:r>
        <w:rPr>
          <w:rFonts w:hint="eastAsia" w:ascii="宋体" w:hAnsi="宋体" w:eastAsia="宋体" w:cs="宋体"/>
          <w:b/>
          <w:bCs/>
          <w:sz w:val="32"/>
          <w:szCs w:val="32"/>
        </w:rPr>
        <w:t>企业所得税主要税收风险提示</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（一）建筑业各类财务报表、纳税申报表等表表之间关联数据勾稽关系预警风险。</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（二）建筑业主要会计科目企业所得税风险提示。</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（三）建安企业会计收入和所得税收入与增值税收入时间、金额等差异处理。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（四）建筑业纳税申报时常见风险提示及防范措施。</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三、202</w:t>
      </w:r>
      <w:r>
        <w:rPr>
          <w:rFonts w:hint="eastAsia" w:ascii="宋体" w:hAnsi="宋体" w:eastAsia="宋体" w:cs="宋体"/>
          <w:b/>
          <w:sz w:val="32"/>
          <w:szCs w:val="32"/>
          <w:lang w:val="en-US" w:eastAsia="zh-CN"/>
        </w:rPr>
        <w:t>1</w:t>
      </w:r>
      <w:r>
        <w:rPr>
          <w:rFonts w:hint="eastAsia" w:ascii="宋体" w:hAnsi="宋体" w:eastAsia="宋体" w:cs="宋体"/>
          <w:b/>
          <w:sz w:val="32"/>
          <w:szCs w:val="32"/>
        </w:rPr>
        <w:t>年</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企业所得税重点热点问题梳理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（一）建筑业允许税前扣除的企业员工工资是否必须以企业为员工缴纳社会保险为前提？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（二）建筑业增值税差额征税的企业所得税处理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（三）建筑业取得虚开增值税发票企业所得税可否税前扣除？有补救措施吗？</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（四）建筑业应取得发票而未取得发票，但合同、对账单等其他证据齐全，可否税前扣除？</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（五）建筑业总分公司的企业所得税汇算清缴疑难点解析。</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、2021年建筑业企业所得税难点解析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（一）建筑业实行新收入准则的税会差异解析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1、建筑业新收入准则的税会差异</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2、建筑业新收入准则的企业所得税处理依据</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（二）建筑业关联企业利息扣除风险点解析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1、建筑业关联企业利息扣除税收政策介绍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
          <w:bCs/>
          <w:sz w:val="28"/>
          <w:szCs w:val="28"/>
        </w:rPr>
      </w:pPr>
      <w:r>
        <w:rPr>
          <w:rFonts w:hint="eastAsia" w:ascii="仿宋" w:hAnsi="仿宋" w:eastAsia="仿宋" w:cs="仿宋"/>
          <w:i w:val="0"/>
          <w:caps w:val="0"/>
          <w:color w:val="auto"/>
          <w:spacing w:val="0"/>
          <w:kern w:val="0"/>
          <w:sz w:val="30"/>
          <w:szCs w:val="30"/>
          <w:lang w:val="en-US" w:eastAsia="zh-CN" w:bidi="ar"/>
        </w:rPr>
        <w:t>2、建筑业关联企业利息扣除风险点解析</w:t>
      </w:r>
    </w:p>
    <w:p>
      <w:pPr>
        <w:keepNext w:val="0"/>
        <w:keepLines w:val="0"/>
        <w:pageBreakBefore w:val="0"/>
        <w:kinsoku/>
        <w:wordWrap/>
        <w:overflowPunct/>
        <w:topLinePunct w:val="0"/>
        <w:autoSpaceDE/>
        <w:autoSpaceDN/>
        <w:bidi w:val="0"/>
        <w:spacing w:line="360" w:lineRule="auto"/>
        <w:ind w:firstLine="1606" w:firstLineChars="500"/>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第</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 xml:space="preserve">部分   </w:t>
      </w:r>
      <w:r>
        <w:rPr>
          <w:rFonts w:hint="eastAsia" w:ascii="宋体" w:hAnsi="宋体" w:eastAsia="宋体" w:cs="宋体"/>
          <w:b/>
          <w:bCs/>
          <w:sz w:val="32"/>
          <w:szCs w:val="32"/>
          <w:lang w:val="en-US" w:eastAsia="zh-CN"/>
        </w:rPr>
        <w:t>建筑业</w:t>
      </w:r>
      <w:r>
        <w:rPr>
          <w:rFonts w:hint="eastAsia" w:ascii="宋体" w:hAnsi="宋体" w:eastAsia="宋体" w:cs="宋体"/>
          <w:b/>
          <w:bCs/>
          <w:sz w:val="32"/>
          <w:szCs w:val="32"/>
        </w:rPr>
        <w:t>个人所得税汇算清缴</w:t>
      </w:r>
    </w:p>
    <w:p>
      <w:pPr>
        <w:keepNext w:val="0"/>
        <w:keepLines w:val="0"/>
        <w:pageBreakBefore w:val="0"/>
        <w:numPr>
          <w:ilvl w:val="0"/>
          <w:numId w:val="4"/>
        </w:numPr>
        <w:kinsoku/>
        <w:wordWrap/>
        <w:overflowPunct/>
        <w:topLinePunct w:val="0"/>
        <w:autoSpaceDE/>
        <w:autoSpaceDN/>
        <w:bidi w:val="0"/>
        <w:spacing w:line="360" w:lineRule="auto"/>
        <w:textAlignment w:val="auto"/>
        <w:rPr>
          <w:rFonts w:hint="eastAsia" w:ascii="宋体" w:hAnsi="宋体" w:eastAsia="宋体" w:cs="宋体"/>
          <w:b/>
          <w:sz w:val="28"/>
          <w:szCs w:val="28"/>
        </w:rPr>
      </w:pPr>
      <w:r>
        <w:rPr>
          <w:rFonts w:hint="eastAsia" w:ascii="宋体" w:hAnsi="宋体" w:eastAsia="宋体" w:cs="宋体"/>
          <w:b/>
          <w:sz w:val="32"/>
          <w:szCs w:val="32"/>
        </w:rPr>
        <w:t>近期主要个人所得税政策解读</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（一）《国家税务总局关于进一步简便优化部分纳税人个人所得税预扣预缴方法的公告》国家税务总局公告2020年第19号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（二）《国家税务总局关于完善调整部分纳税人个人所得税预扣预缴方法的公告》（国家税务总局公告2020年第13号）</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（三）首年汇缴结束后，凸显的重点问题在哪里？应如何整改与应对？</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sz w:val="28"/>
          <w:szCs w:val="28"/>
        </w:rPr>
      </w:pPr>
      <w:r>
        <w:rPr>
          <w:rFonts w:hint="eastAsia" w:ascii="宋体" w:hAnsi="宋体" w:eastAsia="宋体" w:cs="宋体"/>
          <w:b/>
          <w:sz w:val="32"/>
          <w:szCs w:val="32"/>
        </w:rPr>
        <w:t>二、</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个税税收风险再认识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（一）建筑业个人股权转让应关注的主要税收风险点</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（二）建筑业工资薪金和劳务报酬区别，未与农民工签订劳动合同，未缴纳社保，只缴纳工伤险的个人所得税、企业所得税社保处理。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（三）以案说税，案例清晰，讲解细致。案例都精心设计“案例资料”、“税收政策”、“税务风险”几个部分，每一案例，每一税务风险点基本都有明确的税法依据。</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sz w:val="32"/>
          <w:szCs w:val="32"/>
        </w:rPr>
      </w:pPr>
      <w:r>
        <w:rPr>
          <w:rFonts w:hint="eastAsia" w:ascii="宋体" w:hAnsi="宋体" w:eastAsia="宋体" w:cs="宋体"/>
          <w:b/>
          <w:sz w:val="32"/>
          <w:szCs w:val="32"/>
        </w:rPr>
        <w:t>三、</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个税热点问题</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（一）退休返聘人员、临时工、季节工等涉税处理。</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（二）建造师等挂证人员，只上社保，不发工资，是否需要做全员全额扣缴明细申报？</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宋体" w:hAnsi="宋体" w:eastAsia="宋体" w:cs="宋体"/>
          <w:bCs/>
          <w:sz w:val="28"/>
          <w:szCs w:val="28"/>
        </w:rPr>
      </w:pPr>
      <w:r>
        <w:rPr>
          <w:rFonts w:hint="eastAsia" w:ascii="仿宋" w:hAnsi="仿宋" w:eastAsia="仿宋" w:cs="仿宋"/>
          <w:i w:val="0"/>
          <w:caps w:val="0"/>
          <w:color w:val="auto"/>
          <w:spacing w:val="0"/>
          <w:kern w:val="0"/>
          <w:sz w:val="30"/>
          <w:szCs w:val="30"/>
          <w:lang w:val="en-US" w:eastAsia="zh-CN" w:bidi="ar"/>
        </w:rPr>
        <w:t>（三）建筑业两处取得工资的，个税与社保的基数一样吗？企业所得税前如何扣除？</w:t>
      </w:r>
    </w:p>
    <w:p>
      <w:pPr>
        <w:keepNext w:val="0"/>
        <w:keepLines w:val="0"/>
        <w:pageBreakBefore w:val="0"/>
        <w:kinsoku/>
        <w:wordWrap/>
        <w:overflowPunct/>
        <w:topLinePunct w:val="0"/>
        <w:autoSpaceDE/>
        <w:autoSpaceDN/>
        <w:bidi w:val="0"/>
        <w:spacing w:line="360" w:lineRule="auto"/>
        <w:ind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rPr>
        <w:t>第</w:t>
      </w:r>
      <w:r>
        <w:rPr>
          <w:rFonts w:hint="eastAsia" w:ascii="宋体" w:hAnsi="宋体" w:eastAsia="宋体" w:cs="宋体"/>
          <w:b/>
          <w:sz w:val="32"/>
          <w:szCs w:val="32"/>
          <w:lang w:val="en-US" w:eastAsia="zh-CN"/>
        </w:rPr>
        <w:t>四</w:t>
      </w:r>
      <w:r>
        <w:rPr>
          <w:rFonts w:hint="eastAsia" w:ascii="宋体" w:hAnsi="宋体" w:eastAsia="宋体" w:cs="宋体"/>
          <w:b/>
          <w:sz w:val="32"/>
          <w:szCs w:val="32"/>
        </w:rPr>
        <w:t xml:space="preserve">部分   </w:t>
      </w:r>
      <w:r>
        <w:rPr>
          <w:rFonts w:hint="eastAsia" w:ascii="宋体" w:hAnsi="宋体" w:eastAsia="宋体" w:cs="宋体"/>
          <w:b/>
          <w:sz w:val="32"/>
          <w:szCs w:val="32"/>
          <w:lang w:val="en-US" w:eastAsia="zh-CN"/>
        </w:rPr>
        <w:t>建筑业</w:t>
      </w:r>
      <w:r>
        <w:rPr>
          <w:rFonts w:hint="eastAsia" w:ascii="宋体" w:hAnsi="宋体" w:eastAsia="宋体" w:cs="宋体"/>
          <w:b/>
          <w:sz w:val="32"/>
          <w:szCs w:val="32"/>
        </w:rPr>
        <w:t>社保入税的影响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2020年全面开展社保减免，但减免政策实施后，我们的后续问题都有啥？社保有免有管，面对管的现状会计该如何操作？2021年执行到期的新政都有哪些？关注的要点是什么？</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一、社保“入税”背景分析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（一）社保规定与目前现状分析</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（二）重新定义“社保”</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二、社保“入税”主要政策介绍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（一）社保“入税”基本规定与原则</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（二）常见社保知识介绍</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1、正式工、临时工、全日制、非全日制</w:t>
      </w:r>
    </w:p>
    <w:p>
      <w:pPr>
        <w:keepNext w:val="0"/>
        <w:keepLines w:val="0"/>
        <w:pageBreakBefore w:val="0"/>
        <w:kinsoku/>
        <w:wordWrap/>
        <w:overflowPunct/>
        <w:topLinePunct w:val="0"/>
        <w:autoSpaceDE/>
        <w:autoSpaceDN/>
        <w:bidi w:val="0"/>
        <w:spacing w:line="360" w:lineRule="auto"/>
        <w:ind w:firstLine="600" w:firstLineChars="200"/>
        <w:textAlignment w:val="auto"/>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2、劳动与劳务</w:t>
      </w:r>
    </w:p>
    <w:p>
      <w:pPr>
        <w:keepNext w:val="0"/>
        <w:keepLines w:val="0"/>
        <w:pageBreakBefore w:val="0"/>
        <w:kinsoku/>
        <w:wordWrap/>
        <w:overflowPunct/>
        <w:topLinePunct w:val="0"/>
        <w:autoSpaceDE/>
        <w:autoSpaceDN/>
        <w:bidi w:val="0"/>
        <w:spacing w:line="360" w:lineRule="auto"/>
        <w:ind w:firstLine="643" w:firstLineChars="200"/>
        <w:jc w:val="both"/>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三、回答您关注的热点的问题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1、建筑业员工在老家有新农合，坚持不在公司缴纳社保，这样对公司有什么影响？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2、建筑公司员工流动性较大，能不能不缴纳社保？不交有什么风险？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3、社保入税了会让企业补交之前的社保吗？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 w:hAnsi="仿宋" w:eastAsia="仿宋" w:cs="仿宋"/>
          <w:i w:val="0"/>
          <w:caps w:val="0"/>
          <w:color w:val="auto"/>
          <w:spacing w:val="0"/>
          <w:kern w:val="0"/>
          <w:sz w:val="30"/>
          <w:szCs w:val="30"/>
          <w:lang w:val="en-US" w:eastAsia="zh-CN" w:bidi="ar"/>
        </w:rPr>
      </w:pPr>
      <w:r>
        <w:rPr>
          <w:rFonts w:hint="eastAsia" w:ascii="仿宋" w:hAnsi="仿宋" w:eastAsia="仿宋" w:cs="仿宋"/>
          <w:i w:val="0"/>
          <w:caps w:val="0"/>
          <w:color w:val="auto"/>
          <w:spacing w:val="0"/>
          <w:kern w:val="0"/>
          <w:sz w:val="30"/>
          <w:szCs w:val="30"/>
          <w:lang w:val="en-US" w:eastAsia="zh-CN" w:bidi="ar"/>
        </w:rPr>
        <w:t>4、疫情的时候很多企业个别月份是没有工资的，但是个人社保是正常申报的，如何进行账务处理？疫情期间0工资有什么风险吗？</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sz w:val="32"/>
          <w:szCs w:val="32"/>
          <w:lang w:val="en-US" w:eastAsia="zh-CN"/>
        </w:rPr>
      </w:pPr>
      <w:r>
        <w:rPr>
          <w:rFonts w:hint="eastAsia" w:ascii="仿宋" w:hAnsi="仿宋" w:eastAsia="仿宋" w:cs="仿宋"/>
          <w:i w:val="0"/>
          <w:caps w:val="0"/>
          <w:color w:val="auto"/>
          <w:spacing w:val="0"/>
          <w:kern w:val="0"/>
          <w:sz w:val="30"/>
          <w:szCs w:val="30"/>
          <w:lang w:val="en-US" w:eastAsia="zh-CN" w:bidi="ar"/>
        </w:rPr>
        <w:t>本课程将结合2021年以来开始实施的重点新政结合企业实际业务，通过企业所得税，个人所得税及社保等热点问题的解析，为2021年的汇缴及企业薪酬安排工作奠定坚实的基础。</w:t>
      </w:r>
      <w:bookmarkStart w:id="4" w:name="_GoBack"/>
      <w:bookmarkEnd w:id="4"/>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E29BE"/>
    <w:multiLevelType w:val="singleLevel"/>
    <w:tmpl w:val="913E29BE"/>
    <w:lvl w:ilvl="0" w:tentative="0">
      <w:start w:val="1"/>
      <w:numFmt w:val="chineseCounting"/>
      <w:suff w:val="nothing"/>
      <w:lvlText w:val="%1、"/>
      <w:lvlJc w:val="left"/>
      <w:pPr>
        <w:ind w:left="642" w:firstLine="0"/>
      </w:pPr>
      <w:rPr>
        <w:rFonts w:hint="eastAsia"/>
      </w:rPr>
    </w:lvl>
  </w:abstractNum>
  <w:abstractNum w:abstractNumId="1">
    <w:nsid w:val="45924217"/>
    <w:multiLevelType w:val="multilevel"/>
    <w:tmpl w:val="45924217"/>
    <w:lvl w:ilvl="0" w:tentative="0">
      <w:start w:val="1"/>
      <w:numFmt w:val="decimal"/>
      <w:pStyle w:val="10"/>
      <w:lvlText w:val="%1."/>
      <w:lvlJc w:val="left"/>
      <w:pPr>
        <w:ind w:left="420" w:hanging="420"/>
      </w:pPr>
      <w:rPr>
        <w:rFonts w:hint="eastAsia" w:ascii="宋体" w:hAnsi="宋体"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953169"/>
    <w:multiLevelType w:val="multilevel"/>
    <w:tmpl w:val="53953169"/>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E44DB60"/>
    <w:multiLevelType w:val="multilevel"/>
    <w:tmpl w:val="6E44DB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007E0"/>
    <w:rsid w:val="02220A58"/>
    <w:rsid w:val="06AE4555"/>
    <w:rsid w:val="0A6124FF"/>
    <w:rsid w:val="188E4605"/>
    <w:rsid w:val="1F023697"/>
    <w:rsid w:val="20D010CD"/>
    <w:rsid w:val="21A63F48"/>
    <w:rsid w:val="2209525B"/>
    <w:rsid w:val="2CF02F06"/>
    <w:rsid w:val="2FF43EB0"/>
    <w:rsid w:val="33566D8C"/>
    <w:rsid w:val="39095D2E"/>
    <w:rsid w:val="3C233DC3"/>
    <w:rsid w:val="40396F43"/>
    <w:rsid w:val="418007E0"/>
    <w:rsid w:val="47E25E2A"/>
    <w:rsid w:val="4ECE3543"/>
    <w:rsid w:val="52E450A0"/>
    <w:rsid w:val="53151A46"/>
    <w:rsid w:val="565044C1"/>
    <w:rsid w:val="5B1F04C1"/>
    <w:rsid w:val="5ED9042B"/>
    <w:rsid w:val="63B32D45"/>
    <w:rsid w:val="64DA519F"/>
    <w:rsid w:val="663D29B4"/>
    <w:rsid w:val="6A514DF1"/>
    <w:rsid w:val="6A761AE4"/>
    <w:rsid w:val="6AAE5627"/>
    <w:rsid w:val="6C5379D0"/>
    <w:rsid w:val="6DC058CD"/>
    <w:rsid w:val="6EA6212C"/>
    <w:rsid w:val="71B142DB"/>
    <w:rsid w:val="77167E57"/>
    <w:rsid w:val="78E65F03"/>
    <w:rsid w:val="79233872"/>
    <w:rsid w:val="7D480031"/>
    <w:rsid w:val="7E62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Hyperlink"/>
    <w:basedOn w:val="7"/>
    <w:uiPriority w:val="0"/>
    <w:rPr>
      <w:color w:val="0000FF"/>
      <w:u w:val="single"/>
    </w:rPr>
  </w:style>
  <w:style w:type="paragraph" w:styleId="10">
    <w:name w:val="No Spacing"/>
    <w:basedOn w:val="11"/>
    <w:qFormat/>
    <w:uiPriority w:val="1"/>
    <w:pPr>
      <w:numPr>
        <w:ilvl w:val="0"/>
        <w:numId w:val="1"/>
      </w:numPr>
      <w:spacing w:line="360" w:lineRule="auto"/>
      <w:ind w:firstLineChars="0"/>
    </w:pPr>
    <w:rPr>
      <w:rFonts w:ascii="仿宋" w:hAnsi="仿宋" w:eastAsia="仿宋" w:cs="Times New Roman"/>
      <w:color w:val="404040"/>
      <w:sz w:val="24"/>
      <w:szCs w:val="28"/>
    </w:rPr>
  </w:style>
  <w:style w:type="paragraph" w:styleId="11">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2020-07-27T01:20:00Z</dcterms:created>
  <dc:creator>悠然 ~自得</dc:creator>
  <cp:lastModifiedBy>黑色星期天</cp:lastModifiedBy>
  <dcterms:modified xsi:type="dcterms:W3CDTF">2021-03-30T07:56:41Z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465E6748F506443193A3187F24004DFC</vt:lpwstr>
  </property>
</Properties>
</file>