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240" w:lineRule="auto"/>
        <w:ind w:leftChars="0"/>
        <w:jc w:val="left"/>
        <w:rPr>
          <w:rFonts w:hint="eastAsia" w:ascii="黑体" w:hAnsi="黑体" w:eastAsia="黑体" w:cs="黑体"/>
          <w:sz w:val="32"/>
          <w:szCs w:val="32"/>
          <w:lang w:val="en-US" w:eastAsia="zh-CN"/>
        </w:rPr>
      </w:pPr>
      <w:r>
        <w:rPr>
          <w:rFonts w:hint="eastAsia" w:ascii="黑体" w:hAnsi="黑体" w:eastAsia="黑体" w:cs="黑体"/>
          <w:b w:val="0"/>
          <w:bCs w:val="0"/>
          <w:color w:val="000000"/>
          <w:spacing w:val="-14"/>
          <w:kern w:val="0"/>
          <w:sz w:val="32"/>
          <w:szCs w:val="32"/>
          <w:lang w:val="en-US" w:eastAsia="zh-CN"/>
        </w:rPr>
        <w:t>附件：</w:t>
      </w:r>
      <w:bookmarkStart w:id="0" w:name="_GoBack"/>
      <w:bookmarkEnd w:id="0"/>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内建协〔2021〕179号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关于举办2021年税收新政下建安企业涉税风险管控培训班的通知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各盟市建筑业协会、会员单位及相关建筑业企业：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金税四期的落地实施，放管服不断深化的背景下，2021年各项新政都让税务处理规则不断的发生着变化。本次课程将就金税四期税务风险排查、建筑企业会计核算与收入成本确认与税收风险管控、建筑企业不同形式用工人工费用税前扣除与税收风险管控等相关问题进行解读，我会特举办《2021年税收新政下建安企业涉税风险管控课培训班》，为企业财税风险防控工作打下坚实的基础。</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具体事宜通知如下：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主办单位：内蒙古自治区建筑业协会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承办单位：内蒙古自治区建筑业协会建设会计学会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二、培训对象</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各建筑业企业总经理、财务总监、税务总监、财务人员、合同管理人员、法律部负责人及其他相关工作人员等。</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三、培训内容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（课程大纲及讲师介绍详见附件）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四、培训时间及地点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1.培训时间：2021年11月3日--5日（3日报到，4-5日培训）</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2.培训地点：锦和大厦（呼和浩特市赛罕区大学东街长顺路6号）</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五、缴费方式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1.培训费用：会员单位：1100元/人；非会员单位：1800元/人（含资料费、餐费、场地费等），住宿统一安排，费用自理。</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2.缴费方式：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（1）现场缴费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（2）银行转账</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开户银行：建行呼和浩特东达支行</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银行账号：15001706693050000187</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开户单位全称：内蒙古自治区建筑业协会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开户行号：105191084082</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六、其他事项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参会单位于2021年11月1日前将参会人员《报名回执表》以电子邮件反馈至会务组。</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会务组联系人：郭 维</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联系电话：15561021229</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箱：nmjxhyfw@163.com</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七、报名方式</w:t>
      </w:r>
    </w:p>
    <w:p>
      <w:pPr>
        <w:bidi w:val="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扫描二维码报名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drawing>
          <wp:inline distT="0" distB="0" distL="114300" distR="114300">
            <wp:extent cx="1190625" cy="1079500"/>
            <wp:effectExtent l="0" t="0" r="13335" b="254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1190625" cy="1079500"/>
                    </a:xfrm>
                    <a:prstGeom prst="rect">
                      <a:avLst/>
                    </a:prstGeom>
                    <a:noFill/>
                    <a:ln w="9525">
                      <a:noFill/>
                    </a:ln>
                  </pic:spPr>
                </pic:pic>
              </a:graphicData>
            </a:graphic>
          </wp:inline>
        </w:drawing>
      </w:r>
    </w:p>
    <w:p>
      <w:pPr>
        <w:bidi w:val="0"/>
        <w:ind w:firstLine="640" w:firstLineChars="200"/>
        <w:rPr>
          <w:rFonts w:hint="eastAsia" w:ascii="仿宋_GB2312" w:hAnsi="仿宋_GB2312" w:eastAsia="仿宋_GB2312" w:cs="仿宋_GB2312"/>
          <w:sz w:val="32"/>
          <w:szCs w:val="32"/>
        </w:rPr>
      </w:pPr>
    </w:p>
    <w:p>
      <w:pPr>
        <w:bidi w:val="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"http://build.site.hangxintong.cn/xiehuiweb/232269773/files/ueditor/jsp/upload/file/20211013/1634111746301025390.docx" \o "讲师及课程简介.docx" </w:instrText>
      </w:r>
      <w:r>
        <w:rPr>
          <w:rFonts w:hint="eastAsia" w:ascii="仿宋_GB2312" w:hAnsi="仿宋_GB2312" w:eastAsia="仿宋_GB2312" w:cs="仿宋_GB2312"/>
          <w:color w:val="auto"/>
          <w:sz w:val="32"/>
          <w:szCs w:val="32"/>
        </w:rPr>
        <w:fldChar w:fldCharType="separate"/>
      </w:r>
      <w:r>
        <w:rPr>
          <w:rStyle w:val="8"/>
          <w:rFonts w:hint="eastAsia" w:ascii="仿宋_GB2312" w:hAnsi="仿宋_GB2312" w:eastAsia="仿宋_GB2312" w:cs="仿宋_GB2312"/>
          <w:i w:val="0"/>
          <w:iCs w:val="0"/>
          <w:caps w:val="0"/>
          <w:color w:val="auto"/>
          <w:spacing w:val="0"/>
          <w:sz w:val="32"/>
          <w:szCs w:val="32"/>
          <w:u w:val="none"/>
          <w:shd w:val="clear" w:fill="FFFFFF"/>
        </w:rPr>
        <w:t>讲师及课程简介</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p>
    <w:p>
      <w:pPr>
        <w:bidi w:val="0"/>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2021年10月11日</w:t>
      </w:r>
    </w:p>
    <w:p>
      <w:pPr>
        <w:numPr>
          <w:ilvl w:val="0"/>
          <w:numId w:val="0"/>
        </w:numPr>
        <w:spacing w:line="240" w:lineRule="auto"/>
        <w:ind w:leftChars="0"/>
        <w:jc w:val="left"/>
        <w:rPr>
          <w:rFonts w:hint="eastAsia" w:ascii="仿宋_GB2312" w:hAnsi="仿宋_GB2312" w:eastAsia="仿宋_GB2312" w:cs="仿宋_GB2312"/>
          <w:b w:val="0"/>
          <w:bCs w:val="0"/>
          <w:color w:val="000000"/>
          <w:spacing w:val="-14"/>
          <w:kern w:val="0"/>
          <w:sz w:val="32"/>
          <w:szCs w:val="32"/>
          <w:lang w:val="en-US" w:eastAsia="zh-CN"/>
        </w:rPr>
        <w:sectPr>
          <w:footerReference r:id="rId3" w:type="default"/>
          <w:pgSz w:w="11906" w:h="16838"/>
          <w:pgMar w:top="1440" w:right="1800" w:bottom="1440" w:left="1800" w:header="851" w:footer="992" w:gutter="0"/>
          <w:pgNumType w:fmt="numberInDash" w:start="3"/>
          <w:cols w:space="425" w:num="1"/>
          <w:docGrid w:type="lines" w:linePitch="312" w:charSpace="0"/>
        </w:sectPr>
      </w:pPr>
    </w:p>
    <w:p>
      <w:pPr>
        <w:numPr>
          <w:ilvl w:val="0"/>
          <w:numId w:val="0"/>
        </w:numPr>
        <w:spacing w:line="240" w:lineRule="auto"/>
        <w:ind w:leftChars="0"/>
        <w:jc w:val="left"/>
        <w:rPr>
          <w:rFonts w:hint="eastAsia" w:ascii="仿宋_GB2312" w:hAnsi="仿宋_GB2312" w:eastAsia="仿宋_GB2312" w:cs="仿宋_GB2312"/>
          <w:b w:val="0"/>
          <w:bCs w:val="0"/>
          <w:color w:val="000000"/>
          <w:spacing w:val="-14"/>
          <w:kern w:val="0"/>
          <w:sz w:val="32"/>
          <w:szCs w:val="32"/>
          <w:lang w:val="en-US" w:eastAsia="zh-CN" w:bidi="ar-SA"/>
        </w:rPr>
      </w:pPr>
      <w:r>
        <w:rPr>
          <w:rFonts w:hint="eastAsia" w:ascii="仿宋_GB2312" w:hAnsi="仿宋_GB2312" w:eastAsia="仿宋_GB2312" w:cs="仿宋_GB2312"/>
          <w:b w:val="0"/>
          <w:bCs w:val="0"/>
          <w:color w:val="000000"/>
          <w:spacing w:val="-14"/>
          <w:kern w:val="0"/>
          <w:sz w:val="32"/>
          <w:szCs w:val="32"/>
        </w:rPr>
        <w:t>附件</w:t>
      </w:r>
      <w:r>
        <w:rPr>
          <w:rFonts w:hint="eastAsia" w:ascii="仿宋_GB2312" w:hAnsi="仿宋_GB2312" w:eastAsia="仿宋_GB2312" w:cs="仿宋_GB2312"/>
          <w:b w:val="0"/>
          <w:bCs w:val="0"/>
          <w:color w:val="000000"/>
          <w:spacing w:val="-14"/>
          <w:kern w:val="0"/>
          <w:sz w:val="32"/>
          <w:szCs w:val="32"/>
          <w:lang w:val="en-US" w:eastAsia="zh-CN"/>
        </w:rPr>
        <w:t>:</w:t>
      </w:r>
    </w:p>
    <w:p>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b/>
          <w:bCs/>
          <w:color w:val="000000"/>
          <w:spacing w:val="-14"/>
          <w:kern w:val="0"/>
          <w:sz w:val="40"/>
          <w:szCs w:val="40"/>
          <w:lang w:val="en-US" w:eastAsia="zh-CN" w:bidi="ar-SA"/>
        </w:rPr>
      </w:pPr>
      <w:r>
        <w:rPr>
          <w:rFonts w:hint="eastAsia" w:ascii="仿宋_GB2312" w:hAnsi="仿宋_GB2312" w:eastAsia="仿宋_GB2312" w:cs="仿宋_GB2312"/>
          <w:b/>
          <w:bCs/>
          <w:color w:val="000000"/>
          <w:spacing w:val="-14"/>
          <w:kern w:val="0"/>
          <w:sz w:val="40"/>
          <w:szCs w:val="40"/>
          <w:lang w:val="en-US" w:eastAsia="zh-CN" w:bidi="ar-SA"/>
        </w:rPr>
        <w:t>讲师及课程简介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_GB2312" w:hAnsi="仿宋_GB2312" w:eastAsia="仿宋_GB2312" w:cs="仿宋_GB2312"/>
          <w:i w:val="0"/>
          <w:caps w:val="0"/>
          <w:color w:val="auto"/>
          <w:spacing w:val="0"/>
          <w:sz w:val="32"/>
          <w:szCs w:val="32"/>
          <w:lang w:eastAsia="zh-CN"/>
        </w:rPr>
      </w:pPr>
      <w:r>
        <w:rPr>
          <w:rStyle w:val="7"/>
          <w:rFonts w:hint="eastAsia" w:ascii="仿宋_GB2312" w:hAnsi="仿宋_GB2312" w:eastAsia="仿宋_GB2312" w:cs="仿宋_GB2312"/>
          <w:b/>
          <w:i w:val="0"/>
          <w:caps w:val="0"/>
          <w:color w:val="auto"/>
          <w:spacing w:val="0"/>
          <w:sz w:val="32"/>
          <w:szCs w:val="32"/>
        </w:rPr>
        <w:t>【主讲老师】</w:t>
      </w:r>
      <w:r>
        <w:rPr>
          <w:rFonts w:hint="eastAsia" w:ascii="仿宋_GB2312" w:hAnsi="仿宋_GB2312" w:eastAsia="仿宋_GB2312" w:cs="仿宋_GB2312"/>
          <w:i w:val="0"/>
          <w:caps w:val="0"/>
          <w:color w:val="auto"/>
          <w:spacing w:val="0"/>
          <w:sz w:val="32"/>
          <w:szCs w:val="32"/>
        </w:rPr>
        <w:t>欧理平</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color w:val="2E3B42"/>
          <w:kern w:val="0"/>
          <w:sz w:val="32"/>
          <w:szCs w:val="32"/>
        </w:rPr>
      </w:pPr>
      <w:r>
        <w:rPr>
          <w:rFonts w:hint="eastAsia" w:ascii="仿宋_GB2312" w:hAnsi="仿宋_GB2312" w:eastAsia="仿宋_GB2312" w:cs="仿宋_GB2312"/>
          <w:i w:val="0"/>
          <w:caps w:val="0"/>
          <w:color w:val="auto"/>
          <w:spacing w:val="0"/>
          <w:kern w:val="0"/>
          <w:sz w:val="32"/>
          <w:szCs w:val="32"/>
          <w:lang w:val="en-US" w:eastAsia="zh-CN" w:bidi="ar"/>
        </w:rPr>
        <w:t>重庆中咨会计师事务所技术总监,重庆会计学会学术专业委员会委员。全国会计专业技术资格考试（初级、中级、高级）《会计》课程和全国注册会计师考试《会计》、《税法》课程培训专家。授课条理清晰，归纳性强，逻辑严密，结合政策问题，教学内容接地气，同时注重实务操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Style w:val="7"/>
          <w:rFonts w:hint="eastAsia" w:ascii="仿宋_GB2312" w:hAnsi="仿宋_GB2312" w:eastAsia="仿宋_GB2312" w:cs="仿宋_GB2312"/>
          <w:b/>
          <w:i w:val="0"/>
          <w:caps w:val="0"/>
          <w:color w:val="auto"/>
          <w:spacing w:val="0"/>
          <w:sz w:val="32"/>
          <w:szCs w:val="32"/>
        </w:rPr>
      </w:pPr>
      <w:r>
        <w:rPr>
          <w:rStyle w:val="7"/>
          <w:rFonts w:hint="eastAsia" w:ascii="仿宋_GB2312" w:hAnsi="仿宋_GB2312" w:eastAsia="仿宋_GB2312" w:cs="仿宋_GB2312"/>
          <w:b/>
          <w:i w:val="0"/>
          <w:caps w:val="0"/>
          <w:color w:val="auto"/>
          <w:spacing w:val="0"/>
          <w:sz w:val="32"/>
          <w:szCs w:val="32"/>
        </w:rPr>
        <w:t>【</w:t>
      </w:r>
      <w:r>
        <w:rPr>
          <w:rStyle w:val="7"/>
          <w:rFonts w:hint="eastAsia" w:ascii="仿宋_GB2312" w:hAnsi="仿宋_GB2312" w:eastAsia="仿宋_GB2312" w:cs="仿宋_GB2312"/>
          <w:b/>
          <w:i w:val="0"/>
          <w:caps w:val="0"/>
          <w:color w:val="auto"/>
          <w:spacing w:val="0"/>
          <w:sz w:val="32"/>
          <w:szCs w:val="32"/>
          <w:lang w:eastAsia="zh-CN"/>
        </w:rPr>
        <w:t>课程内容</w:t>
      </w:r>
      <w:r>
        <w:rPr>
          <w:rStyle w:val="7"/>
          <w:rFonts w:hint="eastAsia" w:ascii="仿宋_GB2312" w:hAnsi="仿宋_GB2312" w:eastAsia="仿宋_GB2312" w:cs="仿宋_GB2312"/>
          <w:b/>
          <w:i w:val="0"/>
          <w:caps w:val="0"/>
          <w:color w:val="auto"/>
          <w:spacing w:val="0"/>
          <w:sz w:val="32"/>
          <w:szCs w:val="32"/>
        </w:rPr>
        <w:t>】</w:t>
      </w:r>
    </w:p>
    <w:p>
      <w:pPr>
        <w:spacing w:line="360" w:lineRule="auto"/>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模块一：</w:t>
      </w:r>
      <w:r>
        <w:rPr>
          <w:rFonts w:hint="eastAsia" w:ascii="仿宋_GB2312" w:hAnsi="仿宋_GB2312" w:eastAsia="仿宋_GB2312" w:cs="仿宋_GB2312"/>
          <w:b/>
          <w:bCs/>
          <w:sz w:val="32"/>
          <w:szCs w:val="32"/>
          <w:lang w:val="en-US" w:eastAsia="zh-CN"/>
        </w:rPr>
        <w:t>金税四期功能介绍以及纳税人如何排查税务风险</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1.金税四期功能介绍</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2.企业信息联网核查系统对纳税人的影响</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3.纳税人如何自查税务风险</w:t>
      </w:r>
    </w:p>
    <w:p>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模块</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：建筑企业不同形式组织结构跨区域经营三税征管与企业风险应对</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1.建筑企业集团不同形式组织结构跨区域经营所得税征管与税收风险管控</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2.建筑企业跨区域经营增值税管理与税收风险管控</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3.建筑企业跨区域经营个税扣缴管理与税收风险管控</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4，建筑企业挂靠经营的税收风险分析与管控模式建立</w:t>
      </w:r>
    </w:p>
    <w:p>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模块</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：建筑企业会计核算与收入、成本确认与税收风险管控</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1.建筑企业会计核算逻辑与收入确认</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2.建筑企业预收工程款开票，跨年提供劳务，所得税是否确认收入？</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3.建筑业务应该按开票金额确认收入？</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4.企业租金收入、增值税政策、所得税政策分析——兼论新冠疫情各地减免租金政策税收风险</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5超过三年应付未付款项是否必须结转营业外收入补税？</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6.建筑企业资产处置，2019企业财务报表格式修订后出现的资产处置损益、其他收益等项目申报系统没有对应栏次如何处理？</w:t>
      </w:r>
    </w:p>
    <w:p>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模块</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：建筑企业不同形式用工人工费用税前扣除与税收风险管控</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1.正式员工工资薪金税前扣除问题</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.劳务派遣不同形式开票与税前扣除问题</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.建筑企业直接聘用民工的人工费用列支与税前扣除问题</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.职工福利费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职工教育经费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工会经费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社保缴费税前扣除问题</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模块</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：建筑企业不同形式融资费用扣除高风险项目检查与应对</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1.不同渠道借款（金融机构、非金融机构、发行债券、自然人借款）利息支出的财税处理与扣除凭证问题</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2.注册资本认缴制下投资者投资未到位而发生的利息支出税收风险分析</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3.关联方借款超过债资比是否一定调整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非关联企业之间互相拆借资金的税收风险</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.集团内企业之间互相占用资金的税收风险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集团内统借统还税收风险管理</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.案例分析信托融资的税收风险</w:t>
      </w:r>
      <w:r>
        <w:rPr>
          <w:rFonts w:hint="eastAsia" w:ascii="仿宋_GB2312" w:hAnsi="仿宋_GB2312" w:eastAsia="仿宋_GB2312" w:cs="仿宋_GB2312"/>
          <w:sz w:val="32"/>
          <w:szCs w:val="32"/>
          <w:lang w:eastAsia="zh-CN"/>
        </w:rPr>
        <w:t>。</w:t>
      </w:r>
    </w:p>
    <w:p>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模块</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：建筑企业所得税汇缴中税前扣除凭证重点问题与税收风险管控</w:t>
      </w:r>
    </w:p>
    <w:p>
      <w:pPr>
        <w:numPr>
          <w:ilvl w:val="0"/>
          <w:numId w:val="1"/>
        </w:num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境内支出+应税项目+有税务登记单位的票据要求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境内支出+应税项目+无税务登记单位的票据要求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境内支出+应税项目+自然人的票据要求</w:t>
      </w:r>
      <w:r>
        <w:rPr>
          <w:rFonts w:hint="eastAsia" w:ascii="仿宋_GB2312" w:hAnsi="仿宋_GB2312" w:eastAsia="仿宋_GB2312" w:cs="仿宋_GB2312"/>
          <w:sz w:val="32"/>
          <w:szCs w:val="32"/>
          <w:lang w:eastAsia="zh-CN"/>
        </w:rPr>
        <w:t>。</w:t>
      </w:r>
    </w:p>
    <w:p>
      <w:pPr>
        <w:numPr>
          <w:ilvl w:val="0"/>
          <w:numId w:val="0"/>
        </w:num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境内支出+非应税项目：其他凭证、内部凭证与发票的区别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支付给境外支出：是否需要代扣企业所得税（个税）与增值税</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.支付给境外支出，本公司承担的税收如何在税前扣除，如何抵扣增值税？</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.分割单、分摊表真的可以再税前扣除吗？</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.税前扣除凭证不能及时取得的补救措施</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.案例警示：预付卡销售与充值直接税前列支被税务稽查进行行政处罚</w:t>
      </w:r>
      <w:r>
        <w:rPr>
          <w:rFonts w:hint="eastAsia" w:ascii="仿宋_GB2312" w:hAnsi="仿宋_GB2312" w:eastAsia="仿宋_GB2312" w:cs="仿宋_GB2312"/>
          <w:sz w:val="32"/>
          <w:szCs w:val="32"/>
          <w:lang w:eastAsia="zh-CN"/>
        </w:rPr>
        <w:t>。</w:t>
      </w:r>
    </w:p>
    <w:p>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模块</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 xml:space="preserve">建筑企业合同中的增值税应关注问题 </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1.如何理解预收账款、进度款：纳税义务、质保金的纳税风险分析？建筑安装业全流程全税种纳税疑难问题实操处理 。</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2.总包方选择简易计税，分包方一定是按简易计税？ </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3.建筑企业总分包合同业务如何处理增值税及会计核算？ </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4.预缴增值税款的抵减方式，即是按项目抵减还是混合抵减？结算工程款对垫资项目收取的利息如何缴纳增值税？ </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5.企业之间无息借款涉税风险及注意点提醒 。</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6.企业集团之间的无偿借款行为免征增值税政策如何防范操作风险 。</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7.企业集团资金管理之统借统还免征增值税政策运用及企业所得税影响（要点风险提示）。</w:t>
      </w:r>
    </w:p>
    <w:p>
      <w:pPr>
        <w:spacing w:line="360" w:lineRule="auto"/>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模块</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虛开增值税发票的财税法风险</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1.三流不一致在建筑服务中是否适用？将款项付给第三方属于三流不一致吗？</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2.税务机关如何认定委托付款方式。</w:t>
      </w:r>
    </w:p>
    <w:p>
      <w:pPr>
        <w:spacing w:line="360" w:lineRule="auto"/>
        <w:ind w:firstLine="640" w:firstLineChars="200"/>
        <w:rPr>
          <w:rStyle w:val="7"/>
          <w:rFonts w:hint="eastAsia" w:ascii="仿宋_GB2312" w:hAnsi="仿宋_GB2312" w:eastAsia="仿宋_GB2312" w:cs="仿宋_GB2312"/>
          <w:b/>
          <w:i w:val="0"/>
          <w:caps w:val="0"/>
          <w:color w:val="auto"/>
          <w:spacing w:val="0"/>
          <w:sz w:val="32"/>
          <w:szCs w:val="32"/>
          <w:lang w:val="en-US" w:eastAsia="zh-CN"/>
        </w:rPr>
      </w:pPr>
      <w:r>
        <w:rPr>
          <w:rFonts w:hint="eastAsia" w:ascii="仿宋_GB2312" w:hAnsi="仿宋_GB2312" w:eastAsia="仿宋_GB2312" w:cs="仿宋_GB2312"/>
          <w:sz w:val="32"/>
          <w:szCs w:val="32"/>
          <w:lang w:val="en-US" w:eastAsia="zh-CN"/>
        </w:rPr>
        <w:t>3.确实无法支付的应付款在税务上如何认定。</w:t>
      </w:r>
    </w:p>
    <w:p>
      <w:pPr>
        <w:rPr>
          <w:rFonts w:hint="eastAsia" w:ascii="仿宋_GB2312" w:hAnsi="仿宋_GB2312" w:eastAsia="仿宋_GB2312" w:cs="仿宋_GB2312"/>
          <w:sz w:val="32"/>
          <w:szCs w:val="32"/>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6BF4E3"/>
    <w:multiLevelType w:val="singleLevel"/>
    <w:tmpl w:val="BE6BF4E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3020E0"/>
    <w:rsid w:val="15E93BF4"/>
    <w:rsid w:val="233020E0"/>
    <w:rsid w:val="2AE02F8E"/>
    <w:rsid w:val="5C1674CE"/>
    <w:rsid w:val="62AE54EE"/>
    <w:rsid w:val="6B5B1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2021-10-13T07:54:00Z</dcterms:created>
  <dc:creator>awaken the soul</dc:creator>
  <cp:lastModifiedBy>小赵</cp:lastModifiedBy>
  <cp:lastPrinted>2021-10-21T08:22:32Z</cp:lastPrinted>
  <dcterms:modified xsi:type="dcterms:W3CDTF">2021-10-21T08:23:14Z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BDA5BAF0D2764F55988E18A449587BE0</vt:lpwstr>
  </property>
</Properties>
</file>