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内建协〔2019〕29号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关于召开建设工程质量控制和创精品工程培训班的通知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贯彻落实《国务院办公厅关于促进建筑业持续健康发展的意见》(国办发〔2017〕19号)、《住房和城乡建设部工程质量安全提升行动方案》和《内蒙古自治区人民政府办公厅关于促进建筑业持续健康发展的实施意见》（内政办发〔2017〕173号）文件精神，引导我区建筑业企业加强工程质量控制、积极创建精品工程，向质量效益型转变，我会定于2019年4月在呼和浩特市召开建设工程质量控制和创精品工程培训班。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主办单位：内蒙古自治区建筑业协会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承办单位：内蒙古自治区建筑业协会建筑装饰分会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内蒙古自治区建筑业协会安装分会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内蒙古自治区建筑业协会金属结构分会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内蒙古自治区建筑业协会市政工程分会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内蒙古自治区建筑业协会智能化分会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一、会议内容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1、讲授如何创建精品工程及常见质量通病防治、施工过程质量控制等；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部署协会2019年主要质量创优工作，包括创建中国建设工程鲁班奖、国家优质工程奖、自治区建筑工程优质结构奖、自治区新技术应用示范工程、自治区绿色施工示范工程、自治区市政金杯示范工程、自治区智能化优质工程、自治区钢结构金奖、内蒙古安装工程优质奖、自治区建筑工程装饰装修奖和工程建设质量管理小组活动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3、现场观摩。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二、参加人员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1、自治区建筑业协会会长、副会长、常务理事、理事、会员；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2、建设、勘察、设计、施工、监理等单位的负责人、总工、质量主管及项目负责人、工程技术人员、质量管理人员等；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3、各盟市建筑业协会相关人员；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4、内蒙古自治区建筑业协会专家委员会有关专家；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5、其他有关人员。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三、会议时间、地点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1、时间: 2019年4月11日-13日。4月11日全天报到，4月12日下午—13日下午召开建设工程质量控制和创精品工程培训班。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2、地点：呼和浩特市巨华国际大酒店</w:t>
      </w:r>
      <w:bookmarkStart w:id="0" w:name="_GoBack"/>
      <w:bookmarkEnd w:id="0"/>
      <w:r>
        <w:rPr>
          <w:rFonts w:hint="eastAsia" w:ascii="仿宋_GB2312" w:hAnsi="仿宋_GB2312" w:eastAsia="仿宋_GB2312" w:cs="仿宋_GB2312"/>
          <w:i w:val="0"/>
          <w:caps w:val="0"/>
          <w:color w:val="000000"/>
          <w:spacing w:val="0"/>
          <w:sz w:val="32"/>
          <w:szCs w:val="32"/>
        </w:rPr>
        <w:t>（呼和浩特市新城区成吉思汗大街20号）。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1、会务费：会员单位1200元/人、非会员单位1600元/人（含资料费、场地费、餐费等）。食宿统一安排, 住宿费自理。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2、免收各盟市建筑业协会1人会务费。内蒙古自治区建筑业协会专家委员会专家免收会务费，食宿自理。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3、汇款方式：（报到时请出示汇款单复印件）。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开户银行：建行呼和浩特东达支行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银行账号：15001706693050000187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开户单位全称：内蒙古自治区建筑业协会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开户行号：105191084082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五、会议报名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请将参会报名表电子版（见附件）于2019年4月4日前传至我会邮箱。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文件及附件可从内蒙古自治区建筑业协会网站文件公告栏下载。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人：张 瑞   郭 维   李 勇 刘天娇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联系电话：0471-6682144、6294190（财务）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    箱：nmgjzyxh@163.com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网    站：www.nmjx.org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rPr>
        <w:fldChar w:fldCharType="begin"/>
      </w:r>
      <w:r>
        <w:rPr>
          <w:rFonts w:hint="eastAsia" w:ascii="仿宋_GB2312" w:hAnsi="仿宋_GB2312" w:eastAsia="仿宋_GB2312" w:cs="仿宋_GB2312"/>
          <w:i w:val="0"/>
          <w:caps w:val="0"/>
          <w:color w:val="auto"/>
          <w:spacing w:val="0"/>
          <w:sz w:val="32"/>
          <w:szCs w:val="32"/>
          <w:u w:val="none"/>
        </w:rPr>
        <w:instrText xml:space="preserve"> HYPERLINK "http://60.31.29.42/upload/file/20190326/20190326122820_59452.doc" \t "http://60.31.29.42/_blank" </w:instrText>
      </w:r>
      <w:r>
        <w:rPr>
          <w:rFonts w:hint="eastAsia" w:ascii="仿宋_GB2312" w:hAnsi="仿宋_GB2312" w:eastAsia="仿宋_GB2312" w:cs="仿宋_GB2312"/>
          <w:i w:val="0"/>
          <w:caps w:val="0"/>
          <w:color w:val="auto"/>
          <w:spacing w:val="0"/>
          <w:sz w:val="32"/>
          <w:szCs w:val="32"/>
          <w:u w:val="none"/>
        </w:rPr>
        <w:fldChar w:fldCharType="separate"/>
      </w:r>
      <w:r>
        <w:rPr>
          <w:rStyle w:val="7"/>
          <w:rFonts w:hint="eastAsia" w:ascii="仿宋_GB2312" w:hAnsi="仿宋_GB2312" w:eastAsia="仿宋_GB2312" w:cs="仿宋_GB2312"/>
          <w:i w:val="0"/>
          <w:caps w:val="0"/>
          <w:color w:val="auto"/>
          <w:spacing w:val="0"/>
          <w:sz w:val="32"/>
          <w:szCs w:val="32"/>
          <w:u w:val="none"/>
        </w:rPr>
        <w:t>附件</w:t>
      </w:r>
      <w:r>
        <w:rPr>
          <w:rStyle w:val="7"/>
          <w:rFonts w:hint="eastAsia" w:ascii="仿宋_GB2312" w:hAnsi="仿宋_GB2312" w:eastAsia="仿宋_GB2312" w:cs="仿宋_GB2312"/>
          <w:i w:val="0"/>
          <w:caps w:val="0"/>
          <w:color w:val="auto"/>
          <w:spacing w:val="0"/>
          <w:sz w:val="32"/>
          <w:szCs w:val="32"/>
          <w:u w:val="none"/>
          <w:lang w:eastAsia="zh-CN"/>
        </w:rPr>
        <w:t>：</w:t>
      </w:r>
      <w:r>
        <w:rPr>
          <w:rStyle w:val="7"/>
          <w:rFonts w:hint="eastAsia" w:ascii="仿宋_GB2312" w:hAnsi="仿宋_GB2312" w:eastAsia="仿宋_GB2312" w:cs="仿宋_GB2312"/>
          <w:i w:val="0"/>
          <w:caps w:val="0"/>
          <w:color w:val="auto"/>
          <w:spacing w:val="0"/>
          <w:sz w:val="32"/>
          <w:szCs w:val="32"/>
          <w:u w:val="none"/>
        </w:rPr>
        <w:t>1.报名表</w:t>
      </w:r>
      <w:r>
        <w:rPr>
          <w:rFonts w:hint="eastAsia" w:ascii="仿宋_GB2312" w:hAnsi="仿宋_GB2312" w:eastAsia="仿宋_GB2312" w:cs="仿宋_GB2312"/>
          <w:i w:val="0"/>
          <w:caps w:val="0"/>
          <w:color w:val="auto"/>
          <w:spacing w:val="0"/>
          <w:sz w:val="32"/>
          <w:szCs w:val="32"/>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600" w:firstLineChars="5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rPr>
        <w:fldChar w:fldCharType="begin"/>
      </w:r>
      <w:r>
        <w:rPr>
          <w:rFonts w:hint="eastAsia" w:ascii="仿宋_GB2312" w:hAnsi="仿宋_GB2312" w:eastAsia="仿宋_GB2312" w:cs="仿宋_GB2312"/>
          <w:i w:val="0"/>
          <w:caps w:val="0"/>
          <w:color w:val="auto"/>
          <w:spacing w:val="0"/>
          <w:sz w:val="32"/>
          <w:szCs w:val="32"/>
          <w:u w:val="none"/>
        </w:rPr>
        <w:instrText xml:space="preserve"> HYPERLINK "http://60.31.29.42/upload/file/20190326/20190326115217_18492.doc" \t "http://60.31.29.42/_blank" </w:instrText>
      </w:r>
      <w:r>
        <w:rPr>
          <w:rFonts w:hint="eastAsia" w:ascii="仿宋_GB2312" w:hAnsi="仿宋_GB2312" w:eastAsia="仿宋_GB2312" w:cs="仿宋_GB2312"/>
          <w:i w:val="0"/>
          <w:caps w:val="0"/>
          <w:color w:val="auto"/>
          <w:spacing w:val="0"/>
          <w:sz w:val="32"/>
          <w:szCs w:val="32"/>
          <w:u w:val="none"/>
        </w:rPr>
        <w:fldChar w:fldCharType="separate"/>
      </w:r>
      <w:r>
        <w:rPr>
          <w:rStyle w:val="7"/>
          <w:rFonts w:hint="eastAsia" w:ascii="仿宋_GB2312" w:hAnsi="仿宋_GB2312" w:eastAsia="仿宋_GB2312" w:cs="仿宋_GB2312"/>
          <w:i w:val="0"/>
          <w:caps w:val="0"/>
          <w:color w:val="auto"/>
          <w:spacing w:val="0"/>
          <w:sz w:val="32"/>
          <w:szCs w:val="32"/>
          <w:u w:val="none"/>
        </w:rPr>
        <w:t>2.酒店交通路线图</w:t>
      </w:r>
      <w:r>
        <w:rPr>
          <w:rFonts w:hint="eastAsia" w:ascii="仿宋_GB2312" w:hAnsi="仿宋_GB2312" w:eastAsia="仿宋_GB2312" w:cs="仿宋_GB2312"/>
          <w:i w:val="0"/>
          <w:caps w:val="0"/>
          <w:color w:val="auto"/>
          <w:spacing w:val="0"/>
          <w:sz w:val="32"/>
          <w:szCs w:val="32"/>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2019年3月25日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atLeast"/>
        <w:ind w:left="0" w:lef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atLeast"/>
        <w:ind w:left="0" w:lef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atLeast"/>
        <w:ind w:left="0" w:lef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atLeast"/>
        <w:ind w:left="0" w:lef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atLeast"/>
        <w:ind w:left="0" w:lef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atLeast"/>
        <w:ind w:left="0" w:leftChars="0"/>
        <w:textAlignment w:val="auto"/>
        <w:outlineLvl w:val="9"/>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w:t>
      </w:r>
    </w:p>
    <w:p>
      <w:pPr>
        <w:jc w:val="center"/>
        <w:rPr>
          <w:rFonts w:ascii="仿宋_GB2312" w:eastAsia="仿宋_GB2312"/>
          <w:b/>
          <w:bCs/>
          <w:sz w:val="36"/>
          <w:szCs w:val="36"/>
        </w:rPr>
      </w:pPr>
      <w:r>
        <w:rPr>
          <w:rFonts w:hint="eastAsia" w:ascii="华文中宋" w:hAnsi="华文中宋" w:eastAsia="华文中宋"/>
          <w:b/>
          <w:bCs/>
          <w:sz w:val="36"/>
          <w:szCs w:val="36"/>
        </w:rPr>
        <w:t xml:space="preserve">报名表 </w:t>
      </w:r>
    </w:p>
    <w:tbl>
      <w:tblPr>
        <w:tblStyle w:val="5"/>
        <w:tblW w:w="961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45"/>
        <w:gridCol w:w="1497"/>
        <w:gridCol w:w="1383"/>
        <w:gridCol w:w="1783"/>
        <w:gridCol w:w="1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8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4425" w:type="dxa"/>
            <w:gridSpan w:val="3"/>
            <w:noWrap w:val="0"/>
            <w:vAlign w:val="center"/>
          </w:tcPr>
          <w:p>
            <w:pPr>
              <w:spacing w:line="400" w:lineRule="exact"/>
              <w:jc w:val="center"/>
              <w:rPr>
                <w:rFonts w:hint="eastAsia" w:ascii="仿宋_GB2312" w:hAnsi="仿宋_GB2312" w:eastAsia="仿宋_GB2312" w:cs="仿宋_GB2312"/>
                <w:sz w:val="32"/>
                <w:szCs w:val="32"/>
              </w:rPr>
            </w:pPr>
          </w:p>
        </w:tc>
        <w:tc>
          <w:tcPr>
            <w:tcW w:w="1783"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22" w:type="dxa"/>
            <w:noWrap w:val="0"/>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8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w:t>
            </w:r>
          </w:p>
        </w:tc>
        <w:tc>
          <w:tcPr>
            <w:tcW w:w="4425" w:type="dxa"/>
            <w:gridSpan w:val="3"/>
            <w:noWrap w:val="0"/>
            <w:vAlign w:val="center"/>
          </w:tcPr>
          <w:p>
            <w:pPr>
              <w:spacing w:line="400" w:lineRule="exact"/>
              <w:jc w:val="center"/>
              <w:rPr>
                <w:rFonts w:hint="eastAsia" w:ascii="仿宋_GB2312" w:hAnsi="仿宋_GB2312" w:eastAsia="仿宋_GB2312" w:cs="仿宋_GB2312"/>
                <w:sz w:val="32"/>
                <w:szCs w:val="32"/>
              </w:rPr>
            </w:pPr>
          </w:p>
        </w:tc>
        <w:tc>
          <w:tcPr>
            <w:tcW w:w="1783"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w:t>
            </w:r>
          </w:p>
        </w:tc>
        <w:tc>
          <w:tcPr>
            <w:tcW w:w="1722" w:type="dxa"/>
            <w:noWrap w:val="0"/>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80" w:type="dxa"/>
            <w:vMerge w:val="restart"/>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545" w:type="dxa"/>
            <w:vMerge w:val="restart"/>
            <w:noWrap w:val="0"/>
            <w:vAlign w:val="center"/>
          </w:tcPr>
          <w:p>
            <w:pPr>
              <w:spacing w:line="400" w:lineRule="exact"/>
              <w:jc w:val="center"/>
              <w:rPr>
                <w:rFonts w:hint="eastAsia" w:ascii="仿宋_GB2312" w:hAnsi="仿宋_GB2312" w:eastAsia="仿宋_GB2312" w:cs="仿宋_GB2312"/>
                <w:sz w:val="32"/>
                <w:szCs w:val="32"/>
              </w:rPr>
            </w:pPr>
          </w:p>
        </w:tc>
        <w:tc>
          <w:tcPr>
            <w:tcW w:w="1497"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工作部门</w:t>
            </w:r>
          </w:p>
        </w:tc>
        <w:tc>
          <w:tcPr>
            <w:tcW w:w="1383" w:type="dxa"/>
            <w:noWrap w:val="0"/>
            <w:vAlign w:val="center"/>
          </w:tcPr>
          <w:p>
            <w:pPr>
              <w:spacing w:line="400" w:lineRule="exact"/>
              <w:jc w:val="center"/>
              <w:rPr>
                <w:rFonts w:hint="eastAsia" w:ascii="仿宋_GB2312" w:hAnsi="仿宋_GB2312" w:eastAsia="仿宋_GB2312" w:cs="仿宋_GB2312"/>
                <w:sz w:val="32"/>
                <w:szCs w:val="32"/>
              </w:rPr>
            </w:pPr>
          </w:p>
        </w:tc>
        <w:tc>
          <w:tcPr>
            <w:tcW w:w="1783"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固定电话</w:t>
            </w:r>
          </w:p>
        </w:tc>
        <w:tc>
          <w:tcPr>
            <w:tcW w:w="1722" w:type="dxa"/>
            <w:noWrap w:val="0"/>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1680"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1545"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1497"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务</w:t>
            </w:r>
          </w:p>
        </w:tc>
        <w:tc>
          <w:tcPr>
            <w:tcW w:w="1383" w:type="dxa"/>
            <w:noWrap w:val="0"/>
            <w:vAlign w:val="center"/>
          </w:tcPr>
          <w:p>
            <w:pPr>
              <w:spacing w:line="400" w:lineRule="exact"/>
              <w:jc w:val="center"/>
              <w:rPr>
                <w:rFonts w:hint="eastAsia" w:ascii="仿宋_GB2312" w:hAnsi="仿宋_GB2312" w:eastAsia="仿宋_GB2312" w:cs="仿宋_GB2312"/>
                <w:sz w:val="32"/>
                <w:szCs w:val="32"/>
              </w:rPr>
            </w:pPr>
          </w:p>
        </w:tc>
        <w:tc>
          <w:tcPr>
            <w:tcW w:w="1783"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1722" w:type="dxa"/>
            <w:noWrap w:val="0"/>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610" w:type="dxa"/>
            <w:gridSpan w:val="6"/>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680" w:type="dxa"/>
            <w:noWrap w:val="0"/>
            <w:vAlign w:val="center"/>
          </w:tcPr>
          <w:p>
            <w:pPr>
              <w:spacing w:line="400" w:lineRule="exact"/>
              <w:ind w:left="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4425" w:type="dxa"/>
            <w:gridSpan w:val="3"/>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  作  单  位</w:t>
            </w:r>
          </w:p>
        </w:tc>
        <w:tc>
          <w:tcPr>
            <w:tcW w:w="1783"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务</w:t>
            </w:r>
          </w:p>
        </w:tc>
        <w:tc>
          <w:tcPr>
            <w:tcW w:w="1722"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680" w:type="dxa"/>
            <w:noWrap w:val="0"/>
            <w:vAlign w:val="center"/>
          </w:tcPr>
          <w:p>
            <w:pPr>
              <w:spacing w:line="500" w:lineRule="exact"/>
              <w:jc w:val="center"/>
              <w:rPr>
                <w:rFonts w:hint="eastAsia" w:ascii="仿宋_GB2312" w:hAnsi="仿宋_GB2312" w:eastAsia="仿宋_GB2312" w:cs="仿宋_GB2312"/>
                <w:sz w:val="32"/>
                <w:szCs w:val="32"/>
              </w:rPr>
            </w:pPr>
          </w:p>
        </w:tc>
        <w:tc>
          <w:tcPr>
            <w:tcW w:w="4425" w:type="dxa"/>
            <w:gridSpan w:val="3"/>
            <w:noWrap w:val="0"/>
            <w:vAlign w:val="center"/>
          </w:tcPr>
          <w:p>
            <w:pPr>
              <w:spacing w:line="500" w:lineRule="exact"/>
              <w:rPr>
                <w:rFonts w:hint="eastAsia" w:ascii="仿宋_GB2312" w:hAnsi="仿宋_GB2312" w:eastAsia="仿宋_GB2312" w:cs="仿宋_GB2312"/>
                <w:sz w:val="32"/>
                <w:szCs w:val="32"/>
              </w:rPr>
            </w:pPr>
          </w:p>
        </w:tc>
        <w:tc>
          <w:tcPr>
            <w:tcW w:w="1783" w:type="dxa"/>
            <w:noWrap w:val="0"/>
            <w:vAlign w:val="center"/>
          </w:tcPr>
          <w:p>
            <w:pPr>
              <w:spacing w:line="500" w:lineRule="exact"/>
              <w:jc w:val="center"/>
              <w:rPr>
                <w:rFonts w:hint="eastAsia" w:ascii="仿宋_GB2312" w:hAnsi="仿宋_GB2312" w:eastAsia="仿宋_GB2312" w:cs="仿宋_GB2312"/>
                <w:sz w:val="32"/>
                <w:szCs w:val="32"/>
              </w:rPr>
            </w:pPr>
          </w:p>
        </w:tc>
        <w:tc>
          <w:tcPr>
            <w:tcW w:w="1722" w:type="dxa"/>
            <w:noWrap w:val="0"/>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680" w:type="dxa"/>
            <w:noWrap w:val="0"/>
            <w:vAlign w:val="center"/>
          </w:tcPr>
          <w:p>
            <w:pPr>
              <w:spacing w:line="500" w:lineRule="exact"/>
              <w:jc w:val="center"/>
              <w:rPr>
                <w:rFonts w:hint="eastAsia" w:ascii="仿宋_GB2312" w:hAnsi="仿宋_GB2312" w:eastAsia="仿宋_GB2312" w:cs="仿宋_GB2312"/>
                <w:sz w:val="32"/>
                <w:szCs w:val="32"/>
              </w:rPr>
            </w:pPr>
          </w:p>
        </w:tc>
        <w:tc>
          <w:tcPr>
            <w:tcW w:w="4425" w:type="dxa"/>
            <w:gridSpan w:val="3"/>
            <w:noWrap w:val="0"/>
            <w:vAlign w:val="center"/>
          </w:tcPr>
          <w:p>
            <w:pPr>
              <w:spacing w:line="500" w:lineRule="exact"/>
              <w:rPr>
                <w:rFonts w:hint="eastAsia" w:ascii="仿宋_GB2312" w:hAnsi="仿宋_GB2312" w:eastAsia="仿宋_GB2312" w:cs="仿宋_GB2312"/>
                <w:sz w:val="32"/>
                <w:szCs w:val="32"/>
              </w:rPr>
            </w:pPr>
          </w:p>
        </w:tc>
        <w:tc>
          <w:tcPr>
            <w:tcW w:w="1783" w:type="dxa"/>
            <w:noWrap w:val="0"/>
            <w:vAlign w:val="center"/>
          </w:tcPr>
          <w:p>
            <w:pPr>
              <w:spacing w:line="500" w:lineRule="exact"/>
              <w:jc w:val="center"/>
              <w:rPr>
                <w:rFonts w:hint="eastAsia" w:ascii="仿宋_GB2312" w:hAnsi="仿宋_GB2312" w:eastAsia="仿宋_GB2312" w:cs="仿宋_GB2312"/>
                <w:sz w:val="32"/>
                <w:szCs w:val="32"/>
              </w:rPr>
            </w:pPr>
          </w:p>
        </w:tc>
        <w:tc>
          <w:tcPr>
            <w:tcW w:w="1722" w:type="dxa"/>
            <w:noWrap w:val="0"/>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80" w:type="dxa"/>
            <w:noWrap w:val="0"/>
            <w:vAlign w:val="center"/>
          </w:tcPr>
          <w:p>
            <w:pPr>
              <w:spacing w:line="500" w:lineRule="exact"/>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住</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宿</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（请打√）</w:t>
            </w:r>
          </w:p>
        </w:tc>
        <w:tc>
          <w:tcPr>
            <w:tcW w:w="7930" w:type="dxa"/>
            <w:gridSpan w:val="5"/>
            <w:noWrap w:val="0"/>
            <w:vAlign w:val="center"/>
          </w:tcPr>
          <w:p>
            <w:pPr>
              <w:pStyle w:val="4"/>
              <w:spacing w:line="300" w:lineRule="exac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eastAsia="zh-CN"/>
              </w:rPr>
              <w:sym w:font="Wingdings 2" w:char="00A3"/>
            </w:r>
            <w:r>
              <w:rPr>
                <w:rFonts w:hint="eastAsia" w:ascii="仿宋_GB2312" w:hAnsi="仿宋_GB2312" w:eastAsia="仿宋_GB2312" w:cs="仿宋_GB2312"/>
                <w:color w:val="333333"/>
                <w:sz w:val="32"/>
                <w:szCs w:val="32"/>
              </w:rPr>
              <w:t>标间</w:t>
            </w:r>
            <w:r>
              <w:rPr>
                <w:rFonts w:hint="eastAsia" w:ascii="仿宋_GB2312" w:hAnsi="仿宋_GB2312" w:eastAsia="仿宋_GB2312" w:cs="仿宋_GB2312"/>
                <w:color w:val="333333"/>
                <w:sz w:val="32"/>
                <w:szCs w:val="32"/>
                <w:lang w:val="en-US" w:eastAsia="zh-CN"/>
              </w:rPr>
              <w:t xml:space="preserve">  数量（ ）</w:t>
            </w:r>
          </w:p>
          <w:p>
            <w:pPr>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□单间</w:t>
            </w:r>
            <w:r>
              <w:rPr>
                <w:rFonts w:hint="eastAsia" w:ascii="仿宋_GB2312" w:hAnsi="仿宋_GB2312" w:eastAsia="仿宋_GB2312" w:cs="仿宋_GB2312"/>
                <w:color w:val="333333"/>
                <w:sz w:val="32"/>
                <w:szCs w:val="32"/>
                <w:lang w:val="en-US" w:eastAsia="zh-CN"/>
              </w:rPr>
              <w:t xml:space="preserve">  数量（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7" w:hRule="atLeast"/>
          <w:jc w:val="center"/>
        </w:trPr>
        <w:tc>
          <w:tcPr>
            <w:tcW w:w="1680" w:type="dxa"/>
            <w:noWrap w:val="0"/>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其它说明</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color w:val="333333"/>
                <w:sz w:val="32"/>
                <w:szCs w:val="32"/>
              </w:rPr>
              <w:t>（请打√）</w:t>
            </w:r>
          </w:p>
        </w:tc>
        <w:tc>
          <w:tcPr>
            <w:tcW w:w="7930" w:type="dxa"/>
            <w:gridSpan w:val="5"/>
            <w:noWrap w:val="0"/>
            <w:vAlign w:val="center"/>
          </w:tcPr>
          <w:p>
            <w:pPr>
              <w:pStyle w:val="4"/>
              <w:spacing w:line="300" w:lineRule="exact"/>
              <w:rPr>
                <w:rFonts w:hint="eastAsia" w:ascii="仿宋_GB2312" w:hAnsi="仿宋_GB2312" w:eastAsia="仿宋_GB2312" w:cs="仿宋_GB2312"/>
                <w:color w:val="333333"/>
                <w:sz w:val="32"/>
                <w:szCs w:val="32"/>
                <w:lang w:val="en-US" w:eastAsia="zh-CN"/>
              </w:rPr>
            </w:pPr>
          </w:p>
          <w:p>
            <w:pPr>
              <w:pStyle w:val="4"/>
              <w:spacing w:line="300" w:lineRule="exac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4月12日上午召开五届六次理事会</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参会</w:t>
            </w:r>
          </w:p>
          <w:p>
            <w:pPr>
              <w:pStyle w:val="4"/>
              <w:spacing w:line="300" w:lineRule="exac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不参会</w:t>
            </w:r>
            <w:r>
              <w:rPr>
                <w:rFonts w:hint="eastAsia" w:ascii="仿宋_GB2312" w:hAnsi="仿宋_GB2312" w:eastAsia="仿宋_GB2312" w:cs="仿宋_GB2312"/>
                <w:color w:val="333333"/>
                <w:sz w:val="32"/>
                <w:szCs w:val="32"/>
                <w:lang w:val="en-US" w:eastAsia="zh-CN"/>
              </w:rPr>
              <w:br w:type="textWrapping"/>
            </w:r>
          </w:p>
          <w:p>
            <w:pPr>
              <w:pStyle w:val="4"/>
              <w:spacing w:line="300" w:lineRule="exac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4月12日下午—13日下午召开</w:t>
            </w:r>
            <w:r>
              <w:rPr>
                <w:rFonts w:hint="eastAsia" w:ascii="仿宋_GB2312" w:hAnsi="仿宋_GB2312" w:eastAsia="仿宋_GB2312" w:cs="仿宋_GB2312"/>
                <w:color w:val="333333"/>
                <w:sz w:val="32"/>
                <w:szCs w:val="32"/>
                <w:lang w:eastAsia="zh-CN"/>
              </w:rPr>
              <w:t>建设工程质量控制和创精品工程培训班</w:t>
            </w:r>
            <w:r>
              <w:rPr>
                <w:rFonts w:hint="eastAsia" w:ascii="仿宋_GB2312" w:hAnsi="仿宋_GB2312" w:eastAsia="仿宋_GB2312" w:cs="仿宋_GB2312"/>
                <w:color w:val="333333"/>
                <w:sz w:val="32"/>
                <w:szCs w:val="32"/>
                <w:lang w:eastAsia="zh-CN"/>
              </w:rPr>
              <w:br w:type="textWrapping"/>
            </w:r>
            <w:r>
              <w:rPr>
                <w:rFonts w:hint="eastAsia" w:ascii="仿宋_GB2312" w:hAnsi="仿宋_GB2312" w:eastAsia="仿宋_GB2312" w:cs="仿宋_GB2312"/>
                <w:color w:val="333333"/>
                <w:sz w:val="32"/>
                <w:szCs w:val="32"/>
                <w:lang w:eastAsia="zh-CN"/>
              </w:rPr>
              <w:t>□参会</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不参会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80" w:type="dxa"/>
            <w:noWrap w:val="0"/>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注</w:t>
            </w:r>
          </w:p>
        </w:tc>
        <w:tc>
          <w:tcPr>
            <w:tcW w:w="7930" w:type="dxa"/>
            <w:gridSpan w:val="5"/>
            <w:noWrap w:val="0"/>
            <w:vAlign w:val="center"/>
          </w:tcPr>
          <w:p>
            <w:pPr>
              <w:spacing w:line="500" w:lineRule="exac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请于</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日前传真或发电子邮件至我会</w:t>
            </w:r>
            <w:r>
              <w:rPr>
                <w:rFonts w:hint="eastAsia" w:ascii="仿宋_GB2312" w:hAnsi="仿宋_GB2312" w:eastAsia="仿宋_GB2312" w:cs="仿宋_GB2312"/>
                <w:color w:val="333333"/>
                <w:sz w:val="32"/>
                <w:szCs w:val="32"/>
                <w:lang w:eastAsia="zh-CN"/>
              </w:rPr>
              <w:t>，仅发一次回执即可。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610" w:type="dxa"/>
            <w:gridSpan w:val="6"/>
            <w:noWrap w:val="0"/>
            <w:vAlign w:val="center"/>
          </w:tcPr>
          <w:p>
            <w:pPr>
              <w:spacing w:line="500" w:lineRule="exact"/>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开具增值税普通发票信息：</w:t>
            </w:r>
          </w:p>
          <w:p>
            <w:pPr>
              <w:jc w:val="both"/>
              <w:rPr>
                <w:rFonts w:hint="eastAsia" w:ascii="仿宋_GB2312" w:hAnsi="仿宋_GB2312" w:eastAsia="仿宋_GB2312" w:cs="仿宋_GB2312"/>
                <w:color w:val="333333"/>
                <w:sz w:val="32"/>
                <w:szCs w:val="32"/>
                <w:lang w:eastAsia="zh-CN"/>
              </w:rPr>
            </w:pPr>
          </w:p>
          <w:p>
            <w:pPr>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sz w:val="32"/>
                <w:szCs w:val="32"/>
                <w:lang w:val="en-US" w:eastAsia="zh-CN"/>
              </w:rPr>
              <w:t>此处粘贴费用汇（寄）存根复印件</w:t>
            </w:r>
            <w:r>
              <w:rPr>
                <w:rFonts w:hint="eastAsia" w:ascii="仿宋_GB2312" w:hAnsi="仿宋_GB2312" w:eastAsia="仿宋_GB2312" w:cs="仿宋_GB2312"/>
                <w:color w:val="333333"/>
                <w:sz w:val="32"/>
                <w:szCs w:val="32"/>
                <w:lang w:eastAsia="zh-CN"/>
              </w:rPr>
              <w:t>）</w:t>
            </w:r>
          </w:p>
        </w:tc>
      </w:tr>
    </w:tbl>
    <w:p>
      <w:pPr>
        <w:rPr>
          <w:rFonts w:hint="eastAsia" w:ascii="宋体" w:hAnsi="宋体" w:eastAsia="宋体"/>
          <w:bCs/>
          <w:color w:val="000000"/>
          <w:sz w:val="32"/>
          <w:szCs w:val="32"/>
          <w:lang w:eastAsia="zh-CN"/>
        </w:rPr>
      </w:pPr>
      <w:r>
        <w:rPr>
          <w:rFonts w:hint="eastAsia" w:ascii="宋体" w:hAnsi="宋体" w:eastAsia="宋体"/>
          <w:bCs/>
          <w:color w:val="000000"/>
          <w:sz w:val="32"/>
          <w:szCs w:val="32"/>
        </w:rPr>
        <w:t>附件</w:t>
      </w:r>
      <w:r>
        <w:rPr>
          <w:rFonts w:ascii="宋体" w:hAnsi="宋体" w:eastAsia="宋体"/>
          <w:bCs/>
          <w:color w:val="000000"/>
          <w:sz w:val="32"/>
          <w:szCs w:val="32"/>
        </w:rPr>
        <w:t>2</w:t>
      </w:r>
      <w:r>
        <w:rPr>
          <w:rFonts w:hint="eastAsia" w:ascii="宋体" w:hAnsi="宋体" w:eastAsia="宋体"/>
          <w:bCs/>
          <w:color w:val="000000"/>
          <w:sz w:val="32"/>
          <w:szCs w:val="32"/>
        </w:rPr>
        <w:t>：</w:t>
      </w:r>
    </w:p>
    <w:p>
      <w:pPr>
        <w:tabs>
          <w:tab w:val="left" w:pos="5400"/>
        </w:tabs>
        <w:jc w:val="center"/>
        <w:rPr>
          <w:rFonts w:hint="eastAsia" w:ascii="宋体" w:hAnsi="宋体" w:cs="宋体"/>
          <w:b/>
          <w:sz w:val="44"/>
          <w:szCs w:val="44"/>
          <w:lang w:eastAsia="zh-CN"/>
        </w:rPr>
      </w:pPr>
      <w:r>
        <w:rPr>
          <w:rFonts w:hint="eastAsia" w:ascii="宋体" w:hAnsi="宋体" w:cs="宋体"/>
          <w:b/>
          <w:sz w:val="44"/>
          <w:szCs w:val="44"/>
          <w:lang w:eastAsia="zh-CN"/>
        </w:rPr>
        <w:t>酒店交通路线图</w:t>
      </w:r>
    </w:p>
    <w:p>
      <w:pPr>
        <w:tabs>
          <w:tab w:val="left" w:pos="5400"/>
        </w:tabs>
        <w:jc w:val="left"/>
        <w:rPr>
          <w:rFonts w:ascii="仿宋" w:hAnsi="仿宋" w:eastAsia="仿宋" w:cs="宋体"/>
          <w:sz w:val="32"/>
          <w:szCs w:val="32"/>
        </w:rPr>
      </w:pPr>
    </w:p>
    <w:p>
      <w:pPr>
        <w:tabs>
          <w:tab w:val="left" w:pos="5400"/>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名称：呼和浩特市巨华国际大酒店</w:t>
      </w:r>
    </w:p>
    <w:p>
      <w:pPr>
        <w:tabs>
          <w:tab w:val="left" w:pos="5400"/>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地址：呼和浩特市新城区成吉思汗大街20号，呼和浩特市成吉思汗大街</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呼伦贝尔北路交叉口西南。</w:t>
      </w:r>
    </w:p>
    <w:p>
      <w:pPr>
        <w:tabs>
          <w:tab w:val="left" w:pos="5400"/>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电话：0471-3288888</w:t>
      </w:r>
    </w:p>
    <w:p>
      <w:pPr>
        <w:tabs>
          <w:tab w:val="left" w:pos="5400"/>
        </w:tabs>
        <w:jc w:val="left"/>
        <w:rPr>
          <w:rFonts w:hint="eastAsia" w:ascii="仿宋" w:hAnsi="仿宋" w:eastAsia="仿宋" w:cs="宋体"/>
          <w:sz w:val="32"/>
          <w:szCs w:val="32"/>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乘车路线：</w:t>
      </w:r>
      <w:r>
        <w:rPr>
          <w:rFonts w:hint="eastAsia" w:ascii="仿宋_GB2312" w:hAnsi="仿宋_GB2312" w:eastAsia="仿宋_GB2312" w:cs="仿宋_GB2312"/>
          <w:sz w:val="32"/>
          <w:szCs w:val="32"/>
        </w:rPr>
        <w:t>呼和浩特火车站距离酒店</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公里，打车约15元；呼和浩特火车东站距离酒店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公里，打车约35元；呼和浩特白塔机场距离酒店</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公里，打车约50元。</w:t>
      </w:r>
    </w:p>
    <w:p>
      <w:pPr>
        <w:tabs>
          <w:tab w:val="left" w:pos="5400"/>
        </w:tabs>
        <w:jc w:val="left"/>
        <w:rPr>
          <w:rFonts w:hint="eastAsia" w:ascii="仿宋_GB2312" w:hAnsi="仿宋_GB2312" w:eastAsia="仿宋_GB2312" w:cs="仿宋_GB2312"/>
          <w:sz w:val="32"/>
          <w:szCs w:val="32"/>
          <w:lang w:val="en-US" w:eastAsia="zh-CN"/>
        </w:rPr>
      </w:pPr>
      <w:r>
        <w:rPr>
          <w:rFonts w:hint="eastAsia" w:ascii="仿宋" w:hAnsi="仿宋" w:eastAsia="仿宋" w:cs="宋体"/>
          <w:sz w:val="28"/>
          <w:szCs w:val="28"/>
        </w:rPr>
        <w:drawing>
          <wp:anchor distT="0" distB="0" distL="114300" distR="114300" simplePos="0" relativeHeight="251660288" behindDoc="0" locked="0" layoutInCell="1" allowOverlap="1">
            <wp:simplePos x="0" y="0"/>
            <wp:positionH relativeFrom="margin">
              <wp:posOffset>-138430</wp:posOffset>
            </wp:positionH>
            <wp:positionV relativeFrom="margin">
              <wp:posOffset>4473575</wp:posOffset>
            </wp:positionV>
            <wp:extent cx="5419725" cy="3234690"/>
            <wp:effectExtent l="0" t="0" r="5715" b="1143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419725" cy="3234690"/>
                    </a:xfrm>
                    <a:prstGeom prst="rect">
                      <a:avLst/>
                    </a:prstGeom>
                    <a:noFill/>
                    <a:ln>
                      <a:noFill/>
                    </a:ln>
                  </pic:spPr>
                </pic:pic>
              </a:graphicData>
            </a:graphic>
          </wp:anchor>
        </w:drawing>
      </w:r>
      <w:r>
        <w:rPr>
          <w:rFonts w:hint="eastAsia" w:ascii="仿宋" w:hAnsi="仿宋" w:eastAsia="仿宋" w:cs="宋体"/>
          <w:sz w:val="32"/>
          <w:szCs w:val="32"/>
        </w:rPr>
        <w:br w:type="textWrapping"/>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C3249"/>
    <w:rsid w:val="0E79538A"/>
    <w:rsid w:val="205E102C"/>
    <w:rsid w:val="408074C7"/>
    <w:rsid w:val="51AA4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黑色星期天</cp:lastModifiedBy>
  <dcterms:modified xsi:type="dcterms:W3CDTF">2019-03-27T07:39:27Z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