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黑体" w:hAnsi="黑体" w:eastAsia="黑体" w:cs="黑体"/>
          <w:i w:val="0"/>
          <w:caps w:val="0"/>
          <w:color w:val="000000" w:themeColor="text1"/>
          <w:spacing w:val="0"/>
          <w:sz w:val="32"/>
          <w:szCs w:val="32"/>
          <w:bdr w:val="none" w:color="auto" w:sz="0" w:space="0"/>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bdr w:val="none" w:color="auto" w:sz="0" w:space="0"/>
          <w:lang w:val="en-US" w:eastAsia="zh-CN"/>
          <w14:textFill>
            <w14:solidFill>
              <w14:schemeClr w14:val="tx1"/>
            </w14:solidFill>
          </w14:textFill>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内建协〔2018〕130号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rPr>
        <w:t>关于举办《国地税合并后建筑企业涉税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简体" w:hAnsi="方正小标宋简体" w:eastAsia="方正小标宋简体" w:cs="方正小标宋简体"/>
          <w:i w:val="0"/>
          <w:caps w:val="0"/>
          <w:color w:val="000000" w:themeColor="text1"/>
          <w:spacing w:val="0"/>
          <w:sz w:val="44"/>
          <w:szCs w:val="44"/>
          <w:bdr w:val="none" w:color="auto" w:sz="0" w:space="0"/>
          <w:lang w:val="en-US" w:eastAsia="zh-CN"/>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spacing w:val="0"/>
          <w:sz w:val="44"/>
          <w:szCs w:val="44"/>
        </w:rPr>
        <w:t>稽查风险应对》培训班的通知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bookmarkStart w:id="0" w:name="_GoBack"/>
      <w:bookmarkEnd w:id="0"/>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各会员单位及相关企业：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随着全面营改增的不断深入，国地税合并，非税收入和社保划归税务局征收，《个人所得税法》第七次大幅度修订，税局、工商、公安、银行、社保、人事等大数据大互联的直接应用，8月份【金税三期个人所得税扣缴系统】升级为【自然人税收管理系统扣缴客户端】等，税务部门初步形成了一个覆盖全国全行业网络、各级税务机关、所有税种、所有工作环节的全国性税收信息系统；同时，税务稽查方式、方法都发生了颠覆性的改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十年磨一剑，国家税务总局公告2018年第28号《企业所得税税前扣除凭证管理办法》终于落地了，同时随着内建工〔2018〕370号《内蒙古自治区建筑工人实名制和工资支付管理办法》以及《内蒙古自治区建筑工人实名制和工资支付管理办法实施细则》（征求意见稿）的下发，建筑安装企业的人工成本税前列支越来越规范了，如何理顺人工成本列支渠道问题迫在眉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本次课程将从建筑企业项目经营的各种情形，以及国家税务总局2018年第42号公告对建筑业的利好，分析国地税合并以及建筑工人实名制等带来的对建筑安装企业的影响，从个税与社保征管新形势入手，结合企业不同的用工形式深入挖掘和剖析企业所得税、个税与社保和企业工资表联动的潜在风险。大数据、全税种的稽查新模式，提前进行实务自查、防范涉税风险，为2018年企业所得税的汇算清缴做好关账前的准备工作，更好的适应国地税合并后的新要求、在不违背税法原则的基础上，获取企业税收利益最大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一、培训对象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各企业负责人、财务人员及相关工作人员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二、培训内容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（课程大纲及讲师介绍详见附件）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三、培训时间及地点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1．培训时间：10月25日—26日（24日全天报道）     上午8:30-12:00 下午2:00-5:00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2．培训地点：呼和浩特万浩大酒店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地址：呼和浩特市新城区海东路与万通路交汇处南300路东。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四、费用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会员单位：1000元/人；非会员单位：1800元/人（含资料费、餐费、场地费等），住宿统一安排，费用自理。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五、报名方式：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请参会单位请于10月20日前将报名回执表（扫描件及电子版）以电子邮件的方式发送至nmjxhyfw@163.com。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六、联系方式：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内蒙古自治区建筑业协会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赵 英  梁嘉仪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联系电话：0471-6913042/6915199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邮    箱：nmjxhyfw@163.com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bdr w:val="none" w:color="auto" w:sz="0" w:space="0"/>
          <w14:textFill>
            <w14:solidFill>
              <w14:schemeClr w14:val="tx1"/>
            </w14:solidFill>
          </w14:textFill>
        </w:rPr>
        <w:fldChar w:fldCharType="begin"/>
      </w:r>
      <w:r>
        <w:rPr>
          <w:rFonts w:hint="eastAsia" w:ascii="仿宋_GB2312" w:hAnsi="仿宋_GB2312" w:eastAsia="仿宋_GB2312" w:cs="仿宋_GB2312"/>
          <w:i w:val="0"/>
          <w:caps w:val="0"/>
          <w:color w:val="000000" w:themeColor="text1"/>
          <w:spacing w:val="0"/>
          <w:sz w:val="32"/>
          <w:szCs w:val="32"/>
          <w:u w:val="none"/>
          <w:bdr w:val="none" w:color="auto" w:sz="0" w:space="0"/>
          <w14:textFill>
            <w14:solidFill>
              <w14:schemeClr w14:val="tx1"/>
            </w14:solidFill>
          </w14:textFill>
        </w:rPr>
        <w:instrText xml:space="preserve"> HYPERLINK "http://60.31.29.42/upload/file/20180928/20180928104724_62797.docx" \t "http://60.31.29.42/_blank" </w:instrText>
      </w:r>
      <w:r>
        <w:rPr>
          <w:rFonts w:hint="eastAsia" w:ascii="仿宋_GB2312" w:hAnsi="仿宋_GB2312" w:eastAsia="仿宋_GB2312" w:cs="仿宋_GB2312"/>
          <w:i w:val="0"/>
          <w:caps w:val="0"/>
          <w:color w:val="000000" w:themeColor="text1"/>
          <w:spacing w:val="0"/>
          <w:sz w:val="32"/>
          <w:szCs w:val="32"/>
          <w:u w:val="none"/>
          <w:bdr w:val="none" w:color="auto" w:sz="0" w:space="0"/>
          <w14:textFill>
            <w14:solidFill>
              <w14:schemeClr w14:val="tx1"/>
            </w14:solidFill>
          </w14:textFill>
        </w:rPr>
        <w:fldChar w:fldCharType="separate"/>
      </w:r>
      <w:r>
        <w:rPr>
          <w:rStyle w:val="7"/>
          <w:rFonts w:hint="eastAsia" w:ascii="仿宋_GB2312" w:hAnsi="仿宋_GB2312" w:eastAsia="仿宋_GB2312" w:cs="仿宋_GB2312"/>
          <w:i w:val="0"/>
          <w:caps w:val="0"/>
          <w:color w:val="000000" w:themeColor="text1"/>
          <w:spacing w:val="0"/>
          <w:sz w:val="32"/>
          <w:szCs w:val="32"/>
          <w:u w:val="none"/>
          <w:bdr w:val="none" w:color="auto" w:sz="0" w:space="0"/>
          <w14:textFill>
            <w14:solidFill>
              <w14:schemeClr w14:val="tx1"/>
            </w14:solidFill>
          </w14:textFill>
        </w:rPr>
        <w:t>附件下载（报名回执表、培训课程表、课程大纲及讲师介绍、线路导航）</w:t>
      </w:r>
      <w:r>
        <w:rPr>
          <w:rFonts w:hint="eastAsia" w:ascii="仿宋_GB2312" w:hAnsi="仿宋_GB2312" w:eastAsia="仿宋_GB2312" w:cs="仿宋_GB2312"/>
          <w:i w:val="0"/>
          <w:caps w:val="0"/>
          <w:color w:val="000000" w:themeColor="text1"/>
          <w:spacing w:val="0"/>
          <w:sz w:val="32"/>
          <w:szCs w:val="32"/>
          <w:u w:val="none"/>
          <w:bdr w:val="none" w:color="auto" w:sz="0" w:space="0"/>
          <w14:textFill>
            <w14:solidFill>
              <w14:schemeClr w14:val="tx1"/>
            </w14:solidFill>
          </w14:textFill>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14:textFill>
            <w14:solidFill>
              <w14:schemeClr w14:val="tx1"/>
            </w14:solidFill>
          </w14:textFill>
        </w:rPr>
        <w:t>2018年9月27日</w:t>
      </w:r>
    </w:p>
    <w:p>
      <w:pPr>
        <w:numPr>
          <w:ilvl w:val="0"/>
          <w:numId w:val="0"/>
        </w:numPr>
        <w:spacing w:line="240" w:lineRule="auto"/>
        <w:ind w:leftChars="0"/>
        <w:jc w:val="left"/>
        <w:rPr>
          <w:rFonts w:hint="eastAsia" w:ascii="宋体" w:hAnsi="宋体" w:eastAsia="宋体" w:cs="宋体"/>
          <w:color w:val="000000"/>
          <w:spacing w:val="-14"/>
          <w:kern w:val="0"/>
          <w:sz w:val="30"/>
          <w:szCs w:val="30"/>
        </w:rPr>
      </w:pPr>
    </w:p>
    <w:p>
      <w:pPr>
        <w:numPr>
          <w:ilvl w:val="0"/>
          <w:numId w:val="0"/>
        </w:numPr>
        <w:spacing w:line="240" w:lineRule="auto"/>
        <w:ind w:leftChars="0"/>
        <w:jc w:val="left"/>
        <w:rPr>
          <w:rFonts w:hint="eastAsia" w:ascii="宋体" w:hAnsi="宋体" w:eastAsia="宋体" w:cs="宋体"/>
          <w:color w:val="000000"/>
          <w:spacing w:val="-14"/>
          <w:kern w:val="0"/>
          <w:sz w:val="30"/>
          <w:szCs w:val="30"/>
        </w:rPr>
      </w:pPr>
    </w:p>
    <w:p>
      <w:pPr>
        <w:numPr>
          <w:ilvl w:val="0"/>
          <w:numId w:val="0"/>
        </w:numPr>
        <w:spacing w:line="240" w:lineRule="auto"/>
        <w:ind w:leftChars="0"/>
        <w:jc w:val="left"/>
        <w:rPr>
          <w:rFonts w:hint="eastAsia" w:ascii="宋体" w:hAnsi="宋体" w:eastAsia="宋体" w:cs="宋体"/>
          <w:color w:val="000000"/>
          <w:spacing w:val="-14"/>
          <w:kern w:val="0"/>
          <w:sz w:val="30"/>
          <w:szCs w:val="30"/>
        </w:rPr>
      </w:pPr>
    </w:p>
    <w:p>
      <w:pPr>
        <w:numPr>
          <w:ilvl w:val="0"/>
          <w:numId w:val="0"/>
        </w:numPr>
        <w:spacing w:line="240" w:lineRule="auto"/>
        <w:ind w:leftChars="0"/>
        <w:jc w:val="left"/>
        <w:rPr>
          <w:rFonts w:hint="eastAsia" w:ascii="宋体" w:hAnsi="宋体" w:eastAsia="宋体" w:cs="宋体"/>
          <w:color w:val="000000"/>
          <w:spacing w:val="-14"/>
          <w:kern w:val="0"/>
          <w:sz w:val="30"/>
          <w:szCs w:val="30"/>
        </w:rPr>
      </w:pPr>
    </w:p>
    <w:p>
      <w:pPr>
        <w:numPr>
          <w:ilvl w:val="0"/>
          <w:numId w:val="0"/>
        </w:numPr>
        <w:spacing w:line="240" w:lineRule="auto"/>
        <w:ind w:leftChars="0"/>
        <w:jc w:val="left"/>
        <w:rPr>
          <w:rFonts w:hint="eastAsia" w:ascii="宋体" w:hAnsi="宋体" w:eastAsia="宋体" w:cs="宋体"/>
          <w:color w:val="000000"/>
          <w:spacing w:val="-14"/>
          <w:kern w:val="0"/>
          <w:sz w:val="30"/>
          <w:szCs w:val="30"/>
        </w:rPr>
      </w:pPr>
    </w:p>
    <w:p>
      <w:pPr>
        <w:numPr>
          <w:ilvl w:val="0"/>
          <w:numId w:val="0"/>
        </w:numPr>
        <w:spacing w:line="240" w:lineRule="auto"/>
        <w:ind w:leftChars="0"/>
        <w:jc w:val="left"/>
        <w:rPr>
          <w:rFonts w:hint="eastAsia" w:ascii="宋体" w:hAnsi="宋体" w:eastAsia="宋体" w:cs="宋体"/>
          <w:color w:val="000000"/>
          <w:spacing w:val="-14"/>
          <w:kern w:val="0"/>
          <w:sz w:val="30"/>
          <w:szCs w:val="30"/>
        </w:rPr>
      </w:pPr>
    </w:p>
    <w:p>
      <w:pPr>
        <w:numPr>
          <w:ilvl w:val="0"/>
          <w:numId w:val="0"/>
        </w:numPr>
        <w:spacing w:line="240" w:lineRule="auto"/>
        <w:ind w:leftChars="0"/>
        <w:jc w:val="left"/>
        <w:rPr>
          <w:rFonts w:hint="eastAsia" w:ascii="宋体" w:hAnsi="宋体" w:eastAsia="宋体" w:cs="宋体"/>
          <w:color w:val="000000"/>
          <w:spacing w:val="-14"/>
          <w:kern w:val="0"/>
          <w:sz w:val="30"/>
          <w:szCs w:val="30"/>
        </w:rPr>
      </w:pPr>
    </w:p>
    <w:p>
      <w:pPr>
        <w:numPr>
          <w:ilvl w:val="0"/>
          <w:numId w:val="0"/>
        </w:numPr>
        <w:spacing w:line="240" w:lineRule="auto"/>
        <w:ind w:leftChars="0"/>
        <w:jc w:val="left"/>
        <w:rPr>
          <w:rFonts w:hint="eastAsia" w:ascii="宋体" w:hAnsi="宋体" w:eastAsia="宋体" w:cs="宋体"/>
          <w:color w:val="000000"/>
          <w:spacing w:val="-14"/>
          <w:kern w:val="0"/>
          <w:sz w:val="30"/>
          <w:szCs w:val="30"/>
        </w:rPr>
      </w:pPr>
      <w:r>
        <w:rPr>
          <w:rFonts w:hint="eastAsia" w:ascii="宋体" w:hAnsi="宋体" w:eastAsia="宋体" w:cs="宋体"/>
          <w:color w:val="000000"/>
          <w:spacing w:val="-14"/>
          <w:kern w:val="0"/>
          <w:sz w:val="30"/>
          <w:szCs w:val="30"/>
        </w:rPr>
        <w:t>附件</w:t>
      </w:r>
      <w:r>
        <w:rPr>
          <w:rFonts w:hint="eastAsia" w:ascii="宋体" w:hAnsi="宋体" w:eastAsia="宋体" w:cs="宋体"/>
          <w:color w:val="000000"/>
          <w:spacing w:val="-14"/>
          <w:kern w:val="0"/>
          <w:sz w:val="30"/>
          <w:szCs w:val="30"/>
          <w:lang w:val="en-US" w:eastAsia="zh-CN"/>
        </w:rPr>
        <w:t>1</w:t>
      </w:r>
      <w:r>
        <w:rPr>
          <w:rFonts w:hint="eastAsia" w:ascii="宋体" w:hAnsi="宋体" w:eastAsia="宋体" w:cs="宋体"/>
          <w:color w:val="000000"/>
          <w:spacing w:val="-14"/>
          <w:kern w:val="0"/>
          <w:sz w:val="30"/>
          <w:szCs w:val="30"/>
        </w:rPr>
        <w:t>：</w:t>
      </w:r>
    </w:p>
    <w:p>
      <w:pPr>
        <w:keepNext w:val="0"/>
        <w:keepLines w:val="0"/>
        <w:pageBreakBefore w:val="0"/>
        <w:kinsoku/>
        <w:wordWrap/>
        <w:overflowPunct/>
        <w:topLinePunct w:val="0"/>
        <w:bidi w:val="0"/>
        <w:snapToGrid/>
        <w:spacing w:line="240" w:lineRule="auto"/>
        <w:ind w:left="0" w:leftChars="0"/>
        <w:jc w:val="center"/>
        <w:textAlignment w:val="auto"/>
        <w:rPr>
          <w:rFonts w:hint="eastAsia" w:ascii="宋体" w:hAnsi="宋体" w:eastAsia="宋体" w:cs="宋体"/>
          <w:b/>
          <w:bCs w:val="0"/>
          <w:kern w:val="1"/>
          <w:sz w:val="36"/>
          <w:szCs w:val="36"/>
          <w:lang w:eastAsia="zh-CN"/>
        </w:rPr>
      </w:pPr>
      <w:r>
        <w:rPr>
          <w:rFonts w:hint="eastAsia" w:ascii="宋体" w:hAnsi="宋体" w:eastAsia="宋体" w:cs="宋体"/>
          <w:b/>
          <w:bCs w:val="0"/>
          <w:kern w:val="1"/>
          <w:sz w:val="36"/>
          <w:szCs w:val="36"/>
          <w:lang w:eastAsia="zh-CN"/>
        </w:rPr>
        <w:t>报名回执表</w:t>
      </w:r>
    </w:p>
    <w:tbl>
      <w:tblPr>
        <w:tblStyle w:val="8"/>
        <w:tblW w:w="9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304"/>
        <w:gridCol w:w="11"/>
        <w:gridCol w:w="1067"/>
        <w:gridCol w:w="11"/>
        <w:gridCol w:w="888"/>
        <w:gridCol w:w="11"/>
        <w:gridCol w:w="942"/>
        <w:gridCol w:w="855"/>
        <w:gridCol w:w="210"/>
        <w:gridCol w:w="53"/>
        <w:gridCol w:w="666"/>
        <w:gridCol w:w="1258"/>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单位名称</w:t>
            </w:r>
          </w:p>
        </w:tc>
        <w:tc>
          <w:tcPr>
            <w:tcW w:w="6018"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行业类别</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通讯地址</w:t>
            </w:r>
          </w:p>
        </w:tc>
        <w:tc>
          <w:tcPr>
            <w:tcW w:w="6018"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1200" w:firstLineChars="500"/>
              <w:jc w:val="center"/>
              <w:textAlignment w:val="auto"/>
              <w:outlineLvl w:val="9"/>
              <w:rPr>
                <w:rFonts w:hint="eastAsia" w:ascii="宋体" w:hAnsi="宋体" w:eastAsia="宋体" w:cs="宋体"/>
                <w:bCs/>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邮编</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审 批 人</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职 务</w:t>
            </w:r>
          </w:p>
        </w:tc>
        <w:tc>
          <w:tcPr>
            <w:tcW w:w="8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9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电 话</w:t>
            </w:r>
          </w:p>
        </w:tc>
        <w:tc>
          <w:tcPr>
            <w:tcW w:w="178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手机</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联 系 人</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部 门</w:t>
            </w:r>
          </w:p>
        </w:tc>
        <w:tc>
          <w:tcPr>
            <w:tcW w:w="8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9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职 务</w:t>
            </w:r>
          </w:p>
        </w:tc>
        <w:tc>
          <w:tcPr>
            <w:tcW w:w="178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手机</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电话/区号</w:t>
            </w:r>
          </w:p>
        </w:tc>
        <w:tc>
          <w:tcPr>
            <w:tcW w:w="3292" w:type="dxa"/>
            <w:gridSpan w:val="6"/>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94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传 真</w:t>
            </w:r>
          </w:p>
        </w:tc>
        <w:tc>
          <w:tcPr>
            <w:tcW w:w="1784" w:type="dxa"/>
            <w:gridSpan w:val="4"/>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E-mail</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代表姓名</w:t>
            </w:r>
          </w:p>
        </w:tc>
        <w:tc>
          <w:tcPr>
            <w:tcW w:w="13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性 别</w:t>
            </w: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部 门</w:t>
            </w:r>
          </w:p>
        </w:tc>
        <w:tc>
          <w:tcPr>
            <w:tcW w:w="8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职务</w:t>
            </w:r>
          </w:p>
        </w:tc>
        <w:tc>
          <w:tcPr>
            <w:tcW w:w="20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电话</w:t>
            </w:r>
          </w:p>
        </w:tc>
        <w:tc>
          <w:tcPr>
            <w:tcW w:w="19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手机</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3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20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3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20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3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20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3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20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3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20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right="-107" w:rightChars="-51"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住宿安排</w:t>
            </w:r>
          </w:p>
        </w:tc>
        <w:tc>
          <w:tcPr>
            <w:tcW w:w="8515"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r>
              <w:rPr>
                <w:rFonts w:hint="eastAsia" w:ascii="宋体" w:hAnsi="宋体" w:eastAsia="宋体" w:cs="宋体"/>
                <w:bCs/>
                <w:sz w:val="24"/>
              </w:rPr>
              <w:t>单住□  标间拼住□  订房数量</w:t>
            </w:r>
            <w:r>
              <w:rPr>
                <w:rFonts w:hint="eastAsia" w:ascii="宋体" w:hAnsi="宋体" w:eastAsia="宋体" w:cs="宋体"/>
                <w:bCs/>
                <w:sz w:val="24"/>
                <w:u w:val="single"/>
              </w:rPr>
              <w:t xml:space="preserve">    </w:t>
            </w:r>
            <w:r>
              <w:rPr>
                <w:rFonts w:hint="eastAsia" w:ascii="宋体" w:hAnsi="宋体" w:eastAsia="宋体" w:cs="宋体"/>
                <w:bCs/>
                <w:sz w:val="24"/>
              </w:rPr>
              <w:t>间 ；自行安排□；其他说明：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费用总额</w:t>
            </w:r>
          </w:p>
        </w:tc>
        <w:tc>
          <w:tcPr>
            <w:tcW w:w="529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r>
              <w:rPr>
                <w:rFonts w:hint="eastAsia" w:ascii="宋体" w:hAnsi="宋体" w:eastAsia="宋体" w:cs="宋体"/>
                <w:bCs/>
                <w:sz w:val="24"/>
              </w:rPr>
              <w:t>万     仟     佰     拾    元整</w:t>
            </w:r>
          </w:p>
        </w:tc>
        <w:tc>
          <w:tcPr>
            <w:tcW w:w="7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小写</w:t>
            </w:r>
          </w:p>
        </w:tc>
        <w:tc>
          <w:tcPr>
            <w:tcW w:w="24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left"/>
              <w:textAlignment w:val="auto"/>
              <w:outlineLvl w:val="9"/>
              <w:rPr>
                <w:rFonts w:hint="eastAsia" w:ascii="宋体" w:hAnsi="宋体" w:eastAsia="宋体" w:cs="宋体"/>
                <w:bCs/>
                <w:sz w:val="24"/>
              </w:rPr>
            </w:pPr>
            <w:r>
              <w:rPr>
                <w:rFonts w:hint="eastAsia" w:ascii="宋体" w:hAnsi="宋体" w:eastAsia="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付款方式</w:t>
            </w:r>
          </w:p>
        </w:tc>
        <w:tc>
          <w:tcPr>
            <w:tcW w:w="8515"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1440" w:firstLineChars="600"/>
              <w:jc w:val="center"/>
              <w:textAlignment w:val="auto"/>
              <w:outlineLvl w:val="9"/>
              <w:rPr>
                <w:rFonts w:hint="eastAsia" w:ascii="宋体" w:hAnsi="宋体" w:eastAsia="宋体" w:cs="宋体"/>
                <w:bCs/>
                <w:sz w:val="24"/>
              </w:rPr>
            </w:pPr>
            <w:r>
              <w:rPr>
                <w:rFonts w:hint="eastAsia" w:ascii="宋体" w:hAnsi="宋体" w:eastAsia="宋体" w:cs="宋体"/>
                <w:bCs/>
                <w:sz w:val="24"/>
              </w:rPr>
              <w:t>□通过银行          □</w:t>
            </w:r>
            <w:r>
              <w:rPr>
                <w:rFonts w:hint="eastAsia" w:ascii="宋体" w:hAnsi="宋体" w:eastAsia="宋体" w:cs="宋体"/>
                <w:bCs/>
                <w:sz w:val="24"/>
                <w:lang w:val="en-US" w:eastAsia="zh-CN"/>
              </w:rPr>
              <w:t>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指定收款账     户</w:t>
            </w:r>
          </w:p>
        </w:tc>
        <w:tc>
          <w:tcPr>
            <w:tcW w:w="8515" w:type="dxa"/>
            <w:gridSpan w:val="13"/>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jc w:val="left"/>
              <w:textAlignment w:val="auto"/>
              <w:outlineLvl w:val="9"/>
              <w:rPr>
                <w:rFonts w:hint="eastAsia"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开户银行：建行呼和浩特东达支行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jc w:val="left"/>
              <w:textAlignment w:val="auto"/>
              <w:outlineLvl w:val="9"/>
              <w:rPr>
                <w:rFonts w:hint="eastAsia"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银行账号：15001706693050000187</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jc w:val="left"/>
              <w:textAlignment w:val="auto"/>
              <w:outlineLvl w:val="9"/>
              <w:rPr>
                <w:rFonts w:hint="eastAsia"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开户单位全称：内蒙古自治区建筑业协会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jc w:val="left"/>
              <w:textAlignment w:val="auto"/>
              <w:outlineLvl w:val="9"/>
              <w:rPr>
                <w:rFonts w:hint="eastAsia" w:ascii="宋体" w:hAnsi="宋体" w:eastAsia="宋体" w:cs="宋体"/>
                <w:bCs/>
                <w:sz w:val="24"/>
              </w:rPr>
            </w:pPr>
            <w:r>
              <w:rPr>
                <w:rFonts w:hint="eastAsia" w:ascii="宋体" w:hAnsi="宋体" w:eastAsia="宋体" w:cs="宋体"/>
                <w:bCs/>
                <w:kern w:val="2"/>
                <w:sz w:val="24"/>
                <w:szCs w:val="21"/>
                <w:lang w:val="en-US" w:eastAsia="zh-CN" w:bidi="ar-SA"/>
              </w:rPr>
              <w:t>开户行号：105191084082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7"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bCs/>
                <w:sz w:val="24"/>
              </w:rPr>
            </w:pPr>
            <w:r>
              <w:rPr>
                <w:rFonts w:hint="eastAsia" w:ascii="宋体" w:hAnsi="宋体" w:eastAsia="宋体" w:cs="宋体"/>
                <w:bCs/>
                <w:sz w:val="24"/>
              </w:rPr>
              <w:t>参会方式</w:t>
            </w:r>
          </w:p>
        </w:tc>
        <w:tc>
          <w:tcPr>
            <w:tcW w:w="508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left"/>
              <w:textAlignment w:val="auto"/>
              <w:outlineLvl w:val="9"/>
              <w:rPr>
                <w:rFonts w:hint="eastAsia" w:ascii="宋体" w:hAnsi="宋体" w:eastAsia="宋体" w:cs="宋体"/>
                <w:bCs/>
                <w:sz w:val="24"/>
                <w:szCs w:val="21"/>
              </w:rPr>
            </w:pPr>
            <w:r>
              <w:rPr>
                <w:rFonts w:hint="eastAsia" w:ascii="宋体" w:hAnsi="宋体" w:eastAsia="宋体" w:cs="宋体"/>
                <w:bCs/>
                <w:sz w:val="24"/>
                <w:szCs w:val="21"/>
              </w:rPr>
              <w:t>请参会单位请于</w:t>
            </w:r>
            <w:r>
              <w:rPr>
                <w:rFonts w:hint="eastAsia" w:ascii="宋体" w:hAnsi="宋体" w:eastAsia="宋体" w:cs="宋体"/>
                <w:bCs/>
                <w:sz w:val="24"/>
                <w:szCs w:val="21"/>
                <w:lang w:val="en-US" w:eastAsia="zh-CN"/>
              </w:rPr>
              <w:t>10</w:t>
            </w:r>
            <w:r>
              <w:rPr>
                <w:rFonts w:hint="eastAsia" w:ascii="宋体" w:hAnsi="宋体" w:eastAsia="宋体" w:cs="宋体"/>
                <w:bCs/>
                <w:sz w:val="24"/>
                <w:szCs w:val="21"/>
              </w:rPr>
              <w:t>月</w:t>
            </w:r>
            <w:r>
              <w:rPr>
                <w:rFonts w:hint="eastAsia" w:ascii="宋体" w:hAnsi="宋体" w:eastAsia="宋体" w:cs="宋体"/>
                <w:bCs/>
                <w:sz w:val="24"/>
                <w:szCs w:val="21"/>
                <w:lang w:val="en-US" w:eastAsia="zh-CN"/>
              </w:rPr>
              <w:t>20</w:t>
            </w:r>
            <w:r>
              <w:rPr>
                <w:rFonts w:hint="eastAsia" w:ascii="宋体" w:hAnsi="宋体" w:eastAsia="宋体" w:cs="宋体"/>
                <w:bCs/>
                <w:sz w:val="24"/>
                <w:szCs w:val="21"/>
              </w:rPr>
              <w:t>日</w:t>
            </w:r>
            <w:r>
              <w:rPr>
                <w:rFonts w:hint="eastAsia" w:ascii="宋体" w:hAnsi="宋体" w:eastAsia="宋体" w:cs="宋体"/>
                <w:bCs/>
                <w:sz w:val="24"/>
                <w:szCs w:val="21"/>
                <w:lang w:eastAsia="zh-CN"/>
              </w:rPr>
              <w:t>前将报名回执表</w:t>
            </w:r>
            <w:r>
              <w:rPr>
                <w:rFonts w:hint="eastAsia" w:ascii="宋体" w:hAnsi="宋体" w:eastAsia="宋体" w:cs="宋体"/>
                <w:bCs/>
                <w:sz w:val="24"/>
                <w:szCs w:val="21"/>
                <w:u w:val="single"/>
                <w:lang w:eastAsia="zh-CN"/>
              </w:rPr>
              <w:t>（</w:t>
            </w:r>
            <w:r>
              <w:rPr>
                <w:rFonts w:hint="eastAsia" w:ascii="宋体" w:hAnsi="宋体" w:eastAsia="宋体" w:cs="宋体"/>
                <w:bCs/>
                <w:sz w:val="24"/>
                <w:szCs w:val="21"/>
                <w:u w:val="single"/>
                <w:lang w:val="en-US" w:eastAsia="zh-CN"/>
              </w:rPr>
              <w:t>扫描件及电子版</w:t>
            </w:r>
            <w:r>
              <w:rPr>
                <w:rFonts w:hint="eastAsia" w:ascii="宋体" w:hAnsi="宋体" w:eastAsia="宋体" w:cs="宋体"/>
                <w:bCs/>
                <w:sz w:val="24"/>
                <w:szCs w:val="21"/>
                <w:u w:val="single"/>
                <w:lang w:eastAsia="zh-CN"/>
              </w:rPr>
              <w:t>）</w:t>
            </w:r>
            <w:r>
              <w:rPr>
                <w:rFonts w:hint="eastAsia" w:ascii="宋体" w:hAnsi="宋体" w:eastAsia="宋体" w:cs="宋体"/>
                <w:bCs/>
                <w:sz w:val="24"/>
                <w:szCs w:val="21"/>
                <w:lang w:eastAsia="zh-CN"/>
              </w:rPr>
              <w:t>以</w:t>
            </w:r>
            <w:r>
              <w:rPr>
                <w:rFonts w:hint="eastAsia" w:ascii="宋体" w:hAnsi="宋体" w:eastAsia="宋体" w:cs="宋体"/>
                <w:bCs/>
                <w:sz w:val="24"/>
                <w:szCs w:val="21"/>
              </w:rPr>
              <w:t>电子邮件</w:t>
            </w:r>
            <w:r>
              <w:rPr>
                <w:rFonts w:hint="eastAsia" w:ascii="宋体" w:hAnsi="宋体" w:eastAsia="宋体" w:cs="宋体"/>
                <w:bCs/>
                <w:sz w:val="24"/>
                <w:szCs w:val="21"/>
                <w:lang w:eastAsia="zh-CN"/>
              </w:rPr>
              <w:t>的方式发送</w:t>
            </w:r>
            <w:r>
              <w:rPr>
                <w:rFonts w:hint="eastAsia" w:ascii="宋体" w:hAnsi="宋体" w:eastAsia="宋体" w:cs="宋体"/>
                <w:bCs/>
                <w:sz w:val="24"/>
                <w:szCs w:val="21"/>
              </w:rPr>
              <w:t>至</w:t>
            </w:r>
            <w:r>
              <w:rPr>
                <w:rFonts w:hint="eastAsia" w:ascii="宋体" w:hAnsi="宋体" w:eastAsia="宋体" w:cs="宋体"/>
                <w:bCs/>
                <w:sz w:val="24"/>
                <w:szCs w:val="21"/>
              </w:rPr>
              <w:fldChar w:fldCharType="begin"/>
            </w:r>
            <w:r>
              <w:rPr>
                <w:rFonts w:hint="eastAsia" w:ascii="宋体" w:hAnsi="宋体" w:eastAsia="宋体" w:cs="宋体"/>
                <w:bCs/>
                <w:sz w:val="24"/>
                <w:szCs w:val="21"/>
              </w:rPr>
              <w:instrText xml:space="preserve"> HYPERLINK "mailto:nmjxhyfw@163.com" </w:instrText>
            </w:r>
            <w:r>
              <w:rPr>
                <w:rFonts w:hint="eastAsia" w:ascii="宋体" w:hAnsi="宋体" w:eastAsia="宋体" w:cs="宋体"/>
                <w:bCs/>
                <w:sz w:val="24"/>
                <w:szCs w:val="21"/>
              </w:rPr>
              <w:fldChar w:fldCharType="separate"/>
            </w:r>
            <w:r>
              <w:rPr>
                <w:rFonts w:hint="eastAsia" w:ascii="宋体" w:hAnsi="宋体" w:eastAsia="宋体" w:cs="宋体"/>
                <w:bCs/>
                <w:sz w:val="24"/>
                <w:szCs w:val="21"/>
              </w:rPr>
              <w:t>nmjxhyfw@163.com</w:t>
            </w:r>
            <w:r>
              <w:rPr>
                <w:rFonts w:hint="eastAsia" w:ascii="宋体" w:hAnsi="宋体" w:eastAsia="宋体" w:cs="宋体"/>
                <w:bCs/>
                <w:sz w:val="24"/>
                <w:szCs w:val="21"/>
              </w:rPr>
              <w:fldChar w:fldCharType="end"/>
            </w:r>
            <w:r>
              <w:rPr>
                <w:rFonts w:hint="eastAsia" w:ascii="宋体" w:hAnsi="宋体" w:eastAsia="宋体" w:cs="宋体"/>
                <w:bCs/>
                <w:sz w:val="24"/>
                <w:szCs w:val="21"/>
              </w:rPr>
              <w:t>，在报名3日内将</w:t>
            </w:r>
            <w:r>
              <w:rPr>
                <w:rFonts w:hint="eastAsia" w:ascii="宋体" w:hAnsi="宋体" w:eastAsia="宋体" w:cs="宋体"/>
                <w:bCs/>
                <w:sz w:val="24"/>
                <w:szCs w:val="21"/>
                <w:lang w:eastAsia="zh-CN"/>
              </w:rPr>
              <w:t>培训</w:t>
            </w:r>
            <w:r>
              <w:rPr>
                <w:rFonts w:hint="eastAsia" w:ascii="宋体" w:hAnsi="宋体" w:eastAsia="宋体" w:cs="宋体"/>
                <w:bCs/>
                <w:sz w:val="24"/>
                <w:szCs w:val="21"/>
              </w:rPr>
              <w:t>费通过</w:t>
            </w:r>
            <w:r>
              <w:rPr>
                <w:rFonts w:hint="eastAsia" w:ascii="宋体" w:hAnsi="宋体" w:eastAsia="宋体" w:cs="宋体"/>
                <w:bCs/>
                <w:sz w:val="24"/>
                <w:szCs w:val="21"/>
                <w:lang w:eastAsia="zh-CN"/>
              </w:rPr>
              <w:t>转账</w:t>
            </w:r>
            <w:r>
              <w:rPr>
                <w:rFonts w:hint="eastAsia" w:ascii="宋体" w:hAnsi="宋体" w:eastAsia="宋体" w:cs="宋体"/>
                <w:bCs/>
                <w:sz w:val="24"/>
                <w:szCs w:val="21"/>
              </w:rPr>
              <w:t>或</w:t>
            </w:r>
            <w:r>
              <w:rPr>
                <w:rFonts w:hint="eastAsia" w:ascii="宋体" w:hAnsi="宋体" w:eastAsia="宋体" w:cs="宋体"/>
                <w:bCs/>
                <w:sz w:val="24"/>
                <w:szCs w:val="21"/>
                <w:lang w:eastAsia="zh-CN"/>
              </w:rPr>
              <w:t>现金</w:t>
            </w:r>
            <w:r>
              <w:rPr>
                <w:rFonts w:hint="eastAsia" w:ascii="宋体" w:hAnsi="宋体" w:eastAsia="宋体" w:cs="宋体"/>
                <w:bCs/>
                <w:sz w:val="24"/>
                <w:szCs w:val="21"/>
              </w:rPr>
              <w:t>等方式付款</w:t>
            </w:r>
            <w:r>
              <w:rPr>
                <w:rFonts w:hint="eastAsia" w:ascii="宋体" w:hAnsi="宋体" w:eastAsia="宋体" w:cs="宋体"/>
                <w:bCs/>
                <w:sz w:val="24"/>
                <w:szCs w:val="21"/>
                <w:lang w:eastAsia="zh-CN"/>
              </w:rPr>
              <w:t>。</w:t>
            </w:r>
          </w:p>
        </w:tc>
        <w:tc>
          <w:tcPr>
            <w:tcW w:w="342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p>
            <w:pPr>
              <w:keepNext w:val="0"/>
              <w:keepLines w:val="0"/>
              <w:pageBreakBefore w:val="0"/>
              <w:kinsoku/>
              <w:wordWrap/>
              <w:overflowPunct/>
              <w:topLinePunct w:val="0"/>
              <w:autoSpaceDE/>
              <w:autoSpaceDN/>
              <w:bidi w:val="0"/>
              <w:adjustRightInd/>
              <w:snapToGrid/>
              <w:spacing w:line="440" w:lineRule="exact"/>
              <w:ind w:left="0" w:leftChars="0" w:firstLine="1080" w:firstLineChars="450"/>
              <w:jc w:val="center"/>
              <w:textAlignment w:val="auto"/>
              <w:outlineLvl w:val="9"/>
              <w:rPr>
                <w:rFonts w:hint="eastAsia" w:ascii="宋体" w:hAnsi="宋体" w:eastAsia="宋体" w:cs="宋体"/>
                <w:bCs/>
                <w:sz w:val="24"/>
              </w:rPr>
            </w:pPr>
            <w:r>
              <w:rPr>
                <w:rFonts w:hint="eastAsia" w:ascii="宋体" w:hAnsi="宋体" w:eastAsia="宋体" w:cs="宋体"/>
                <w:bCs/>
                <w:sz w:val="24"/>
              </w:rPr>
              <w:t>单位印章</w:t>
            </w:r>
          </w:p>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9"/>
              <w:rPr>
                <w:rFonts w:hint="eastAsia" w:ascii="宋体" w:hAnsi="宋体" w:eastAsia="宋体" w:cs="宋体"/>
                <w:bCs/>
                <w:sz w:val="24"/>
              </w:rPr>
            </w:pPr>
          </w:p>
          <w:p>
            <w:pPr>
              <w:keepNext w:val="0"/>
              <w:keepLines w:val="0"/>
              <w:pageBreakBefore w:val="0"/>
              <w:kinsoku/>
              <w:wordWrap/>
              <w:overflowPunct/>
              <w:topLinePunct w:val="0"/>
              <w:autoSpaceDE/>
              <w:autoSpaceDN/>
              <w:bidi w:val="0"/>
              <w:adjustRightInd/>
              <w:snapToGrid/>
              <w:spacing w:line="440" w:lineRule="exact"/>
              <w:ind w:left="0" w:leftChars="0" w:firstLine="840" w:firstLineChars="350"/>
              <w:jc w:val="center"/>
              <w:textAlignment w:val="auto"/>
              <w:outlineLvl w:val="9"/>
              <w:rPr>
                <w:rFonts w:hint="eastAsia" w:ascii="宋体" w:hAnsi="宋体" w:eastAsia="宋体" w:cs="宋体"/>
                <w:bCs/>
                <w:sz w:val="24"/>
              </w:rPr>
            </w:pPr>
            <w:r>
              <w:rPr>
                <w:rFonts w:hint="eastAsia" w:ascii="宋体" w:hAnsi="宋体" w:eastAsia="宋体" w:cs="宋体"/>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9" w:hRule="atLeast"/>
          <w:jc w:val="center"/>
        </w:trPr>
        <w:tc>
          <w:tcPr>
            <w:tcW w:w="9824"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jc w:val="left"/>
              <w:textAlignment w:val="auto"/>
              <w:outlineLvl w:val="9"/>
              <w:rPr>
                <w:rFonts w:hint="eastAsia" w:ascii="宋体" w:hAnsi="宋体" w:eastAsia="宋体" w:cs="宋体"/>
                <w:b/>
                <w:bCs/>
                <w:sz w:val="24"/>
                <w:szCs w:val="21"/>
              </w:rPr>
            </w:pPr>
            <w:r>
              <w:rPr>
                <w:rFonts w:hint="eastAsia" w:ascii="宋体" w:hAnsi="宋体" w:eastAsia="宋体" w:cs="宋体"/>
                <w:b/>
                <w:bCs/>
                <w:sz w:val="24"/>
                <w:szCs w:val="21"/>
              </w:rPr>
              <w:t>参加本次会议您想学习哪些内容?希望与专家交流的问题？</w:t>
            </w:r>
          </w:p>
          <w:p>
            <w:pPr>
              <w:keepNext w:val="0"/>
              <w:keepLines w:val="0"/>
              <w:pageBreakBefore w:val="0"/>
              <w:kinsoku/>
              <w:wordWrap/>
              <w:overflowPunct/>
              <w:topLinePunct w:val="0"/>
              <w:autoSpaceDE/>
              <w:autoSpaceDN/>
              <w:bidi w:val="0"/>
              <w:adjustRightInd/>
              <w:snapToGrid/>
              <w:spacing w:line="440" w:lineRule="exact"/>
              <w:ind w:left="0" w:leftChars="0"/>
              <w:jc w:val="left"/>
              <w:textAlignment w:val="auto"/>
              <w:outlineLvl w:val="9"/>
              <w:rPr>
                <w:rFonts w:hint="eastAsia" w:ascii="宋体" w:hAnsi="宋体" w:eastAsia="宋体" w:cs="宋体"/>
                <w:b/>
                <w:bCs/>
                <w:sz w:val="24"/>
                <w:szCs w:val="21"/>
              </w:rPr>
            </w:pPr>
          </w:p>
          <w:p>
            <w:pPr>
              <w:keepNext w:val="0"/>
              <w:keepLines w:val="0"/>
              <w:pageBreakBefore w:val="0"/>
              <w:kinsoku/>
              <w:wordWrap/>
              <w:overflowPunct/>
              <w:topLinePunct w:val="0"/>
              <w:autoSpaceDE/>
              <w:autoSpaceDN/>
              <w:bidi w:val="0"/>
              <w:adjustRightInd/>
              <w:snapToGrid/>
              <w:spacing w:line="440" w:lineRule="exact"/>
              <w:ind w:left="0" w:leftChars="0"/>
              <w:jc w:val="left"/>
              <w:textAlignment w:val="auto"/>
              <w:outlineLvl w:val="9"/>
              <w:rPr>
                <w:rFonts w:hint="eastAsia" w:ascii="宋体" w:hAnsi="宋体" w:eastAsia="宋体" w:cs="宋体"/>
                <w:b/>
                <w:bCs/>
                <w:sz w:val="24"/>
                <w:szCs w:val="21"/>
              </w:rPr>
            </w:pPr>
          </w:p>
          <w:p>
            <w:pPr>
              <w:keepNext w:val="0"/>
              <w:keepLines w:val="0"/>
              <w:pageBreakBefore w:val="0"/>
              <w:kinsoku/>
              <w:wordWrap/>
              <w:overflowPunct/>
              <w:topLinePunct w:val="0"/>
              <w:autoSpaceDE/>
              <w:autoSpaceDN/>
              <w:bidi w:val="0"/>
              <w:adjustRightInd/>
              <w:snapToGrid/>
              <w:spacing w:line="440" w:lineRule="exact"/>
              <w:ind w:left="0" w:leftChars="0"/>
              <w:jc w:val="left"/>
              <w:textAlignment w:val="auto"/>
              <w:outlineLvl w:val="9"/>
              <w:rPr>
                <w:rFonts w:hint="eastAsia" w:ascii="宋体" w:hAnsi="宋体" w:eastAsia="宋体" w:cs="宋体"/>
                <w:b/>
                <w:bCs/>
                <w:sz w:val="24"/>
                <w:szCs w:val="21"/>
              </w:rPr>
            </w:pPr>
          </w:p>
        </w:tc>
      </w:tr>
    </w:tbl>
    <w:p>
      <w:pPr>
        <w:numPr>
          <w:ilvl w:val="0"/>
          <w:numId w:val="0"/>
        </w:numPr>
        <w:spacing w:line="240" w:lineRule="auto"/>
        <w:ind w:leftChars="0"/>
        <w:jc w:val="left"/>
        <w:rPr>
          <w:rFonts w:hint="eastAsia" w:ascii="仿宋" w:hAnsi="仿宋" w:eastAsia="仿宋" w:cs="仿宋"/>
          <w:b/>
          <w:sz w:val="28"/>
          <w:szCs w:val="28"/>
        </w:rPr>
      </w:pPr>
      <w:r>
        <w:rPr>
          <w:rFonts w:hint="eastAsia" w:ascii="仿宋" w:hAnsi="仿宋" w:eastAsia="仿宋" w:cs="仿宋"/>
          <w:sz w:val="32"/>
          <w:szCs w:val="32"/>
          <w:lang w:val="en-US" w:eastAsia="zh-CN"/>
        </w:rPr>
        <w:br w:type="page"/>
      </w:r>
    </w:p>
    <w:p>
      <w:pPr>
        <w:numPr>
          <w:ilvl w:val="0"/>
          <w:numId w:val="0"/>
        </w:numPr>
        <w:spacing w:line="240" w:lineRule="auto"/>
        <w:ind w:leftChars="0"/>
        <w:jc w:val="left"/>
        <w:rPr>
          <w:rFonts w:hint="eastAsia" w:ascii="宋体" w:hAnsi="宋体" w:eastAsia="宋体" w:cs="宋体"/>
          <w:color w:val="000000"/>
          <w:spacing w:val="-14"/>
          <w:kern w:val="0"/>
          <w:sz w:val="30"/>
          <w:szCs w:val="30"/>
        </w:rPr>
      </w:pPr>
      <w:r>
        <w:rPr>
          <w:rFonts w:hint="eastAsia" w:ascii="宋体" w:hAnsi="宋体" w:eastAsia="宋体" w:cs="宋体"/>
          <w:color w:val="000000"/>
          <w:spacing w:val="-14"/>
          <w:kern w:val="0"/>
          <w:sz w:val="30"/>
          <w:szCs w:val="30"/>
        </w:rPr>
        <w:t>附件</w:t>
      </w:r>
      <w:r>
        <w:rPr>
          <w:rFonts w:hint="eastAsia" w:ascii="宋体" w:hAnsi="宋体" w:eastAsia="宋体" w:cs="宋体"/>
          <w:color w:val="000000"/>
          <w:spacing w:val="-14"/>
          <w:kern w:val="0"/>
          <w:sz w:val="30"/>
          <w:szCs w:val="30"/>
          <w:lang w:val="en-US" w:eastAsia="zh-CN"/>
        </w:rPr>
        <w:t>2</w:t>
      </w:r>
      <w:r>
        <w:rPr>
          <w:rFonts w:hint="eastAsia" w:ascii="宋体" w:hAnsi="宋体" w:eastAsia="宋体" w:cs="宋体"/>
          <w:color w:val="000000"/>
          <w:spacing w:val="-14"/>
          <w:kern w:val="0"/>
          <w:sz w:val="30"/>
          <w:szCs w:val="30"/>
        </w:rPr>
        <w:t>：</w:t>
      </w:r>
    </w:p>
    <w:p>
      <w:pPr>
        <w:spacing w:line="240" w:lineRule="auto"/>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国地税合并后建筑企业涉税稽查风险应对课程时间计划表</w:t>
      </w:r>
    </w:p>
    <w:tbl>
      <w:tblPr>
        <w:tblStyle w:val="9"/>
        <w:tblW w:w="9137"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1892"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10月2</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val="en-US" w:eastAsia="zh-CN"/>
              </w:rPr>
              <w:t>30</w:t>
            </w:r>
            <w:r>
              <w:rPr>
                <w:rFonts w:hint="eastAsia" w:ascii="仿宋" w:hAnsi="仿宋" w:eastAsia="仿宋" w:cs="仿宋"/>
                <w:sz w:val="24"/>
                <w:szCs w:val="24"/>
              </w:rPr>
              <w:t>—</w:t>
            </w:r>
            <w:r>
              <w:rPr>
                <w:rFonts w:hint="eastAsia" w:ascii="仿宋" w:hAnsi="仿宋" w:eastAsia="仿宋" w:cs="仿宋"/>
                <w:sz w:val="24"/>
                <w:szCs w:val="24"/>
                <w:lang w:val="en-US" w:eastAsia="zh-CN"/>
              </w:rPr>
              <w:t>17</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w:t>
            </w:r>
          </w:p>
        </w:tc>
        <w:tc>
          <w:tcPr>
            <w:tcW w:w="724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全天报到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2"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10月25日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8：30—10：00</w:t>
            </w:r>
          </w:p>
        </w:tc>
        <w:tc>
          <w:tcPr>
            <w:tcW w:w="7245"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前言：当前建筑业简政放权“放管服”征管形式分析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b/>
                <w:sz w:val="24"/>
                <w:szCs w:val="24"/>
              </w:rPr>
            </w:pPr>
            <w:r>
              <w:rPr>
                <w:rFonts w:hint="eastAsia" w:ascii="仿宋" w:hAnsi="仿宋" w:eastAsia="仿宋" w:cs="仿宋"/>
                <w:b/>
                <w:sz w:val="24"/>
                <w:szCs w:val="24"/>
              </w:rPr>
              <w:t>第一部分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一、招标投标文件与建筑施工合同的实质条款和非实质条款差异如何化解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二、招标投标文件与建筑施工合同实质条款不一致引发的法律风险，审计风险和财务风险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三、如何化解建筑企业总承包合同涉税风险隐患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2"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10：20—12：00</w:t>
            </w:r>
          </w:p>
        </w:tc>
        <w:tc>
          <w:tcPr>
            <w:tcW w:w="7245"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四、实务案例详解“甲供材”营改增后的最新诠释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b/>
                <w:sz w:val="24"/>
                <w:szCs w:val="24"/>
              </w:rPr>
            </w:pPr>
            <w:r>
              <w:rPr>
                <w:rFonts w:hint="eastAsia" w:ascii="仿宋" w:hAnsi="仿宋" w:eastAsia="仿宋" w:cs="仿宋"/>
                <w:b/>
                <w:sz w:val="24"/>
                <w:szCs w:val="24"/>
              </w:rPr>
              <w:t>第二部分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一、住建部《建筑工人实名制管理办法》《全国建筑工人管理服务信息平台数据标准》（征求意见稿）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二、《内蒙古自治区建筑工人实名制和工资支付管理办法》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三、《内蒙古自治区建筑工人实名制和工资支付管理办法实施细则》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2"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w:t>
            </w:r>
          </w:p>
        </w:tc>
        <w:tc>
          <w:tcPr>
            <w:tcW w:w="7245"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b/>
                <w:sz w:val="24"/>
                <w:szCs w:val="24"/>
              </w:rPr>
            </w:pPr>
            <w:r>
              <w:rPr>
                <w:rFonts w:hint="eastAsia" w:ascii="仿宋" w:hAnsi="仿宋" w:eastAsia="仿宋" w:cs="仿宋"/>
                <w:sz w:val="24"/>
                <w:szCs w:val="24"/>
              </w:rPr>
              <w:t>四、建筑工人实名制，如何梳理企业用工类型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b/>
                <w:sz w:val="24"/>
                <w:szCs w:val="24"/>
              </w:rPr>
            </w:pPr>
            <w:r>
              <w:rPr>
                <w:rFonts w:hint="eastAsia" w:ascii="仿宋" w:hAnsi="仿宋" w:eastAsia="仿宋" w:cs="仿宋"/>
                <w:b/>
                <w:sz w:val="24"/>
                <w:szCs w:val="24"/>
              </w:rPr>
              <w:t>第三部分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一、《建筑业个人所得税征收管理暂行办法》解析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二、新《个人所得税法》新政变化解析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三、用工形式企业所得税的工资薪金和个人所得税及社保的关系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2"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z w:val="24"/>
                <w:szCs w:val="24"/>
                <w:lang w:val="en-US" w:eastAsia="zh-CN"/>
              </w:rPr>
              <w:t>5</w:t>
            </w:r>
            <w:r>
              <w:rPr>
                <w:rFonts w:hint="eastAsia" w:ascii="仿宋" w:hAnsi="仿宋" w:eastAsia="仿宋" w:cs="仿宋"/>
                <w:sz w:val="24"/>
                <w:szCs w:val="24"/>
              </w:rPr>
              <w:t>0—17：00</w:t>
            </w:r>
          </w:p>
        </w:tc>
        <w:tc>
          <w:tcPr>
            <w:tcW w:w="7245"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四、哪些"所得"项目不缴纳个税？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五、哪些"工资"项目不计入社保缴费基数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六、个税减负，社保足额征收那个多？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七、农民工与建筑企业签订放弃缴纳社保承诺书的法律风险及规避策略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2"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10月26日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8：30—10：00</w:t>
            </w:r>
          </w:p>
        </w:tc>
        <w:tc>
          <w:tcPr>
            <w:tcW w:w="7245"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八、强制执行社会保险费的裁定文书实务案例分析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九、社保新政将导致企业成本增加30%，欠缴或被追征已被叫停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b/>
                <w:sz w:val="24"/>
                <w:szCs w:val="24"/>
              </w:rPr>
            </w:pPr>
            <w:r>
              <w:rPr>
                <w:rFonts w:hint="eastAsia" w:ascii="仿宋" w:hAnsi="仿宋" w:eastAsia="仿宋" w:cs="仿宋"/>
                <w:b/>
                <w:sz w:val="24"/>
                <w:szCs w:val="24"/>
              </w:rPr>
              <w:t>第四部分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一、建筑企业增值税收入和企业所得收入确认的方法的差异分析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二、国家税务总局公告2018年第42号，建筑企业包工包料怎样实施税负最轻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2"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10：20—12：00</w:t>
            </w:r>
          </w:p>
        </w:tc>
        <w:tc>
          <w:tcPr>
            <w:tcW w:w="7245"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三、建筑服务什么情况下适用或选择适用“简易”计税方法？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四、公司有大量进项税额留抵，是否还要继续预缴工程项目增值税？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五、施工地预缴增值税时，核定征收个人所得税吗？异地施工附征个税的财税处理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2"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0—15：</w:t>
            </w:r>
            <w:r>
              <w:rPr>
                <w:rFonts w:hint="eastAsia" w:ascii="仿宋" w:hAnsi="仿宋" w:eastAsia="仿宋" w:cs="仿宋"/>
                <w:sz w:val="24"/>
                <w:szCs w:val="24"/>
                <w:lang w:val="en-US" w:eastAsia="zh-CN"/>
              </w:rPr>
              <w:t>3</w:t>
            </w:r>
            <w:r>
              <w:rPr>
                <w:rFonts w:hint="eastAsia" w:ascii="仿宋" w:hAnsi="仿宋" w:eastAsia="仿宋" w:cs="仿宋"/>
                <w:sz w:val="24"/>
                <w:szCs w:val="24"/>
              </w:rPr>
              <w:t>0</w:t>
            </w:r>
          </w:p>
        </w:tc>
        <w:tc>
          <w:tcPr>
            <w:tcW w:w="7245"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六、建筑企业自核定征收改为查账征收前的收入处理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七、建筑企业怎样做能享受减半征税优惠政策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八、工程保证金跨5月1日的账务处理实务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2"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z w:val="24"/>
                <w:szCs w:val="24"/>
                <w:lang w:val="en-US" w:eastAsia="zh-CN"/>
              </w:rPr>
              <w:t>5</w:t>
            </w:r>
            <w:r>
              <w:rPr>
                <w:rFonts w:hint="eastAsia" w:ascii="仿宋" w:hAnsi="仿宋" w:eastAsia="仿宋" w:cs="仿宋"/>
                <w:sz w:val="24"/>
                <w:szCs w:val="24"/>
              </w:rPr>
              <w:t>0—17：00</w:t>
            </w:r>
          </w:p>
        </w:tc>
        <w:tc>
          <w:tcPr>
            <w:tcW w:w="7245"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b/>
                <w:sz w:val="24"/>
                <w:szCs w:val="24"/>
              </w:rPr>
            </w:pPr>
            <w:r>
              <w:rPr>
                <w:rFonts w:hint="eastAsia" w:ascii="仿宋" w:hAnsi="仿宋" w:eastAsia="仿宋" w:cs="仿宋"/>
                <w:b/>
                <w:sz w:val="24"/>
                <w:szCs w:val="24"/>
              </w:rPr>
              <w:t>第五部分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一、与建筑企业有关的税目和开票方法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二、施工现场水电费可以用分割单吗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三、建筑业未取得合规税前扣除凭证的补救措施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四、建筑业的小额零星经营业务发票如何进行处理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五、案例分析税前扣除凭证的合规性应注意的事项</w:t>
            </w:r>
          </w:p>
        </w:tc>
      </w:tr>
    </w:tbl>
    <w:p>
      <w:pPr>
        <w:spacing w:line="240" w:lineRule="auto"/>
        <w:ind w:firstLine="560" w:firstLineChars="200"/>
        <w:rPr>
          <w:rFonts w:hint="eastAsia" w:ascii="仿宋" w:hAnsi="仿宋" w:eastAsia="仿宋" w:cs="仿宋"/>
          <w:sz w:val="28"/>
          <w:szCs w:val="28"/>
        </w:rPr>
      </w:pPr>
    </w:p>
    <w:p>
      <w:pPr>
        <w:numPr>
          <w:ilvl w:val="0"/>
          <w:numId w:val="0"/>
        </w:numPr>
        <w:spacing w:line="240" w:lineRule="auto"/>
        <w:ind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numPr>
          <w:ilvl w:val="0"/>
          <w:numId w:val="0"/>
        </w:numPr>
        <w:spacing w:line="240" w:lineRule="auto"/>
        <w:ind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spacing w:line="240" w:lineRule="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主讲老师</w:t>
      </w:r>
      <w:r>
        <w:rPr>
          <w:rFonts w:hint="eastAsia" w:ascii="仿宋" w:hAnsi="仿宋" w:eastAsia="仿宋" w:cs="仿宋"/>
          <w:sz w:val="32"/>
          <w:szCs w:val="32"/>
        </w:rPr>
        <w:t>】冯佩玲</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辽宁税院客座教授。高级会计师、注册会计师、注册税务师。为全国各地税务人员以及企业人员进行财税培训，业务涉及工业、商业、建安、房地产、以及服务业等各个领域。冯老师授课风格脉络清晰、深入浅出、逻辑严谨，深受学员好评！</w:t>
      </w:r>
    </w:p>
    <w:p>
      <w:pPr>
        <w:spacing w:line="240" w:lineRule="auto"/>
        <w:ind w:firstLine="640" w:firstLineChars="200"/>
        <w:rPr>
          <w:rFonts w:hint="eastAsia" w:ascii="仿宋" w:hAnsi="仿宋" w:eastAsia="仿宋" w:cs="仿宋"/>
          <w:sz w:val="32"/>
          <w:szCs w:val="32"/>
        </w:rPr>
      </w:pPr>
    </w:p>
    <w:p>
      <w:pPr>
        <w:spacing w:line="240" w:lineRule="auto"/>
        <w:rPr>
          <w:rFonts w:hint="eastAsia" w:ascii="仿宋" w:hAnsi="仿宋" w:eastAsia="仿宋" w:cs="仿宋"/>
          <w:sz w:val="32"/>
          <w:szCs w:val="32"/>
        </w:rPr>
      </w:pPr>
      <w:r>
        <w:rPr>
          <w:rFonts w:hint="eastAsia" w:ascii="仿宋" w:hAnsi="仿宋" w:eastAsia="仿宋" w:cs="仿宋"/>
          <w:sz w:val="32"/>
          <w:szCs w:val="32"/>
        </w:rPr>
        <w:t>【课程大纲】</w:t>
      </w:r>
    </w:p>
    <w:p>
      <w:pPr>
        <w:spacing w:line="240" w:lineRule="auto"/>
        <w:ind w:firstLine="540"/>
        <w:rPr>
          <w:rFonts w:hint="eastAsia" w:ascii="仿宋" w:hAnsi="仿宋" w:eastAsia="仿宋" w:cs="仿宋"/>
          <w:b/>
          <w:sz w:val="32"/>
          <w:szCs w:val="32"/>
        </w:rPr>
      </w:pPr>
      <w:r>
        <w:rPr>
          <w:rFonts w:hint="eastAsia" w:ascii="仿宋" w:hAnsi="仿宋" w:eastAsia="仿宋" w:cs="仿宋"/>
          <w:b/>
          <w:sz w:val="32"/>
          <w:szCs w:val="32"/>
        </w:rPr>
        <w:t>第一部分：建筑企业总承包合同的涉税风险隐患源头</w:t>
      </w:r>
    </w:p>
    <w:p>
      <w:pPr>
        <w:pStyle w:val="12"/>
        <w:spacing w:line="240" w:lineRule="auto"/>
        <w:ind w:firstLine="560"/>
        <w:rPr>
          <w:rFonts w:hint="eastAsia" w:ascii="仿宋" w:hAnsi="仿宋" w:eastAsia="仿宋" w:cs="仿宋"/>
          <w:sz w:val="32"/>
          <w:szCs w:val="32"/>
        </w:rPr>
      </w:pPr>
      <w:r>
        <w:rPr>
          <w:rFonts w:hint="eastAsia" w:ascii="仿宋" w:hAnsi="仿宋" w:eastAsia="仿宋" w:cs="仿宋"/>
          <w:sz w:val="32"/>
          <w:szCs w:val="32"/>
        </w:rPr>
        <w:t>一、招标投标文件与建筑施工合同的实质条款和非实质条款差异如何化解</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二、招标投标文件与建筑施工合同实质条款不一致引发的法律风险，审计风险和财务风险</w:t>
      </w:r>
    </w:p>
    <w:p>
      <w:pPr>
        <w:spacing w:line="240" w:lineRule="auto"/>
        <w:ind w:left="540"/>
        <w:rPr>
          <w:rFonts w:hint="eastAsia" w:ascii="仿宋" w:hAnsi="仿宋" w:eastAsia="仿宋" w:cs="仿宋"/>
          <w:sz w:val="32"/>
          <w:szCs w:val="32"/>
        </w:rPr>
      </w:pPr>
      <w:r>
        <w:rPr>
          <w:rFonts w:hint="eastAsia" w:ascii="仿宋" w:hAnsi="仿宋" w:eastAsia="仿宋" w:cs="仿宋"/>
          <w:sz w:val="32"/>
          <w:szCs w:val="32"/>
        </w:rPr>
        <w:t>三、如何化解建筑企业总承包合同涉税风险隐患</w:t>
      </w:r>
    </w:p>
    <w:p>
      <w:pPr>
        <w:spacing w:line="240" w:lineRule="auto"/>
        <w:ind w:left="540"/>
        <w:rPr>
          <w:rFonts w:hint="eastAsia" w:ascii="仿宋" w:hAnsi="仿宋" w:eastAsia="仿宋" w:cs="仿宋"/>
          <w:sz w:val="32"/>
          <w:szCs w:val="32"/>
        </w:rPr>
      </w:pPr>
      <w:r>
        <w:rPr>
          <w:rFonts w:hint="eastAsia" w:ascii="仿宋" w:hAnsi="仿宋" w:eastAsia="仿宋" w:cs="仿宋"/>
          <w:sz w:val="32"/>
          <w:szCs w:val="32"/>
        </w:rPr>
        <w:t>四、实务案例详解“甲供材”营改增后的最新诠释</w:t>
      </w:r>
    </w:p>
    <w:p>
      <w:pPr>
        <w:spacing w:line="240" w:lineRule="auto"/>
        <w:ind w:left="540"/>
        <w:rPr>
          <w:rFonts w:hint="eastAsia" w:ascii="仿宋" w:hAnsi="仿宋" w:eastAsia="仿宋" w:cs="仿宋"/>
          <w:b/>
          <w:sz w:val="32"/>
          <w:szCs w:val="32"/>
        </w:rPr>
      </w:pPr>
      <w:r>
        <w:rPr>
          <w:rFonts w:hint="eastAsia" w:ascii="仿宋" w:hAnsi="仿宋" w:eastAsia="仿宋" w:cs="仿宋"/>
          <w:b/>
          <w:sz w:val="32"/>
          <w:szCs w:val="32"/>
        </w:rPr>
        <w:t>第二部分：建筑工人实名制， 建筑企业如何应对</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一、住建部《建筑工人实名制管理办法》《全国建筑工人管理服务信息平台数据标准》（征求意见稿）</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二、《内蒙古自治区建筑工人实名制和工资支付管理办法》</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三、《内蒙古自治区建筑工人实名制和工资支付管理办法实施细则》</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四、建筑工人实名制，应先梳理企业用工类型</w:t>
      </w:r>
    </w:p>
    <w:p>
      <w:pPr>
        <w:spacing w:line="240" w:lineRule="auto"/>
        <w:ind w:firstLine="540"/>
        <w:rPr>
          <w:rFonts w:hint="eastAsia" w:ascii="仿宋" w:hAnsi="仿宋" w:eastAsia="仿宋" w:cs="仿宋"/>
          <w:b/>
          <w:sz w:val="32"/>
          <w:szCs w:val="32"/>
        </w:rPr>
      </w:pPr>
      <w:r>
        <w:rPr>
          <w:rFonts w:hint="eastAsia" w:ascii="仿宋" w:hAnsi="仿宋" w:eastAsia="仿宋" w:cs="仿宋"/>
          <w:b/>
          <w:sz w:val="32"/>
          <w:szCs w:val="32"/>
        </w:rPr>
        <w:t>第三部分：个人所得税、社保申报，企业所得税申报与建筑安装企业工资表信息共享带来怎样的风险</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一、《建筑业个人所得税征收管理暂行办法》解析</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二、新《个人所得税法》新政变化解析</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三、用工形式企业所得税的工资薪金和个人所得税及社保的关系</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四、哪些"所得"项目不缴纳个税？</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五、哪些"工资"项目不计入社保缴费基数</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六、个税减负，社保严管那个多？</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七、农民工与建筑企业签订放弃缴纳社保承诺书的法律风险及规避策略</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八、强制执行社会保险费的裁定文书实务案例分析</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九、社保新政将导致企业成本增加30%，欠缴或被追征10年</w:t>
      </w:r>
    </w:p>
    <w:p>
      <w:pPr>
        <w:spacing w:line="240" w:lineRule="auto"/>
        <w:ind w:firstLine="540"/>
        <w:rPr>
          <w:rFonts w:hint="eastAsia" w:ascii="仿宋" w:hAnsi="仿宋" w:eastAsia="仿宋" w:cs="仿宋"/>
          <w:b/>
          <w:sz w:val="32"/>
          <w:szCs w:val="32"/>
        </w:rPr>
      </w:pPr>
      <w:r>
        <w:rPr>
          <w:rFonts w:hint="eastAsia" w:ascii="仿宋" w:hAnsi="仿宋" w:eastAsia="仿宋" w:cs="仿宋"/>
          <w:b/>
          <w:sz w:val="32"/>
          <w:szCs w:val="32"/>
        </w:rPr>
        <w:t>第三部分：建筑业"三次营改增"后涉税问题全面梳理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一、建筑企业增值税收入和企业所得收入确认的方法的差异分析</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二、国家税务总局公告2018年第42号，建筑企业包工包料怎样实施税负最轻</w:t>
      </w:r>
    </w:p>
    <w:p>
      <w:pPr>
        <w:spacing w:line="240" w:lineRule="auto"/>
        <w:ind w:left="540"/>
        <w:rPr>
          <w:rFonts w:hint="eastAsia" w:ascii="仿宋" w:hAnsi="仿宋" w:eastAsia="仿宋" w:cs="仿宋"/>
          <w:sz w:val="32"/>
          <w:szCs w:val="32"/>
        </w:rPr>
      </w:pPr>
      <w:r>
        <w:rPr>
          <w:rFonts w:hint="eastAsia" w:ascii="仿宋" w:hAnsi="仿宋" w:eastAsia="仿宋" w:cs="仿宋"/>
          <w:sz w:val="32"/>
          <w:szCs w:val="32"/>
        </w:rPr>
        <w:t>三、建筑服务什么情况下适用或选择适用“简易”计税方法？</w:t>
      </w:r>
    </w:p>
    <w:p>
      <w:pPr>
        <w:spacing w:line="240" w:lineRule="auto"/>
        <w:ind w:left="540"/>
        <w:rPr>
          <w:rFonts w:hint="eastAsia" w:ascii="仿宋" w:hAnsi="仿宋" w:eastAsia="仿宋" w:cs="仿宋"/>
          <w:sz w:val="32"/>
          <w:szCs w:val="32"/>
        </w:rPr>
      </w:pPr>
      <w:r>
        <w:rPr>
          <w:rFonts w:hint="eastAsia" w:ascii="仿宋" w:hAnsi="仿宋" w:eastAsia="仿宋" w:cs="仿宋"/>
          <w:sz w:val="32"/>
          <w:szCs w:val="32"/>
        </w:rPr>
        <w:t>四、公司有大量进项税额留抵，是否还要继续预缴工程项目增值税？</w:t>
      </w:r>
    </w:p>
    <w:p>
      <w:pPr>
        <w:spacing w:line="240" w:lineRule="auto"/>
        <w:ind w:left="540"/>
        <w:rPr>
          <w:rFonts w:hint="eastAsia" w:ascii="仿宋" w:hAnsi="仿宋" w:eastAsia="仿宋" w:cs="仿宋"/>
          <w:sz w:val="32"/>
          <w:szCs w:val="32"/>
        </w:rPr>
      </w:pPr>
      <w:r>
        <w:rPr>
          <w:rFonts w:hint="eastAsia" w:ascii="仿宋" w:hAnsi="仿宋" w:eastAsia="仿宋" w:cs="仿宋"/>
          <w:sz w:val="32"/>
          <w:szCs w:val="32"/>
        </w:rPr>
        <w:t>五、施工地预缴增值税时，核定征收个人所得税吗？异地施工附征个税的财税处理</w:t>
      </w:r>
    </w:p>
    <w:p>
      <w:pPr>
        <w:spacing w:line="240" w:lineRule="auto"/>
        <w:ind w:left="540"/>
        <w:rPr>
          <w:rFonts w:hint="eastAsia" w:ascii="仿宋" w:hAnsi="仿宋" w:eastAsia="仿宋" w:cs="仿宋"/>
          <w:sz w:val="32"/>
          <w:szCs w:val="32"/>
        </w:rPr>
      </w:pPr>
      <w:r>
        <w:rPr>
          <w:rFonts w:hint="eastAsia" w:ascii="仿宋" w:hAnsi="仿宋" w:eastAsia="仿宋" w:cs="仿宋"/>
          <w:sz w:val="32"/>
          <w:szCs w:val="32"/>
        </w:rPr>
        <w:t>六、建筑企业自核定征收改为查账征收前的收入处理</w:t>
      </w:r>
    </w:p>
    <w:p>
      <w:pPr>
        <w:spacing w:line="240" w:lineRule="auto"/>
        <w:ind w:left="540"/>
        <w:rPr>
          <w:rFonts w:hint="eastAsia" w:ascii="仿宋" w:hAnsi="仿宋" w:eastAsia="仿宋" w:cs="仿宋"/>
          <w:sz w:val="32"/>
          <w:szCs w:val="32"/>
        </w:rPr>
      </w:pPr>
      <w:r>
        <w:rPr>
          <w:rFonts w:hint="eastAsia" w:ascii="仿宋" w:hAnsi="仿宋" w:eastAsia="仿宋" w:cs="仿宋"/>
          <w:sz w:val="32"/>
          <w:szCs w:val="32"/>
        </w:rPr>
        <w:t>七、建筑企业怎样做能享受减半征税优惠政策</w:t>
      </w:r>
    </w:p>
    <w:p>
      <w:pPr>
        <w:spacing w:line="240" w:lineRule="auto"/>
        <w:ind w:left="540"/>
        <w:rPr>
          <w:rFonts w:hint="eastAsia" w:ascii="仿宋" w:hAnsi="仿宋" w:eastAsia="仿宋" w:cs="仿宋"/>
          <w:sz w:val="32"/>
          <w:szCs w:val="32"/>
        </w:rPr>
      </w:pPr>
      <w:r>
        <w:rPr>
          <w:rFonts w:hint="eastAsia" w:ascii="仿宋" w:hAnsi="仿宋" w:eastAsia="仿宋" w:cs="仿宋"/>
          <w:sz w:val="32"/>
          <w:szCs w:val="32"/>
        </w:rPr>
        <w:t>八、工程保证金跨5月1日的账务处理实务</w:t>
      </w:r>
    </w:p>
    <w:p>
      <w:pPr>
        <w:spacing w:line="240" w:lineRule="auto"/>
        <w:ind w:firstLine="540"/>
        <w:rPr>
          <w:rFonts w:hint="eastAsia" w:ascii="仿宋" w:hAnsi="仿宋" w:eastAsia="仿宋" w:cs="仿宋"/>
          <w:b/>
          <w:sz w:val="32"/>
          <w:szCs w:val="32"/>
        </w:rPr>
      </w:pPr>
      <w:r>
        <w:rPr>
          <w:rFonts w:hint="eastAsia" w:ascii="仿宋" w:hAnsi="仿宋" w:eastAsia="仿宋" w:cs="仿宋"/>
          <w:b/>
          <w:sz w:val="32"/>
          <w:szCs w:val="32"/>
        </w:rPr>
        <w:t>第四部分：建筑企业如何取得所得税前扣除凭证</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一、建筑工程材料成本如何在所得税前扣除</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二、施工现场水电费可以用分割单吗</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三、建筑业未取得合规税前扣除凭证的补救措施</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四、建筑业的小额零星经营业务发票如何进行处理</w:t>
      </w:r>
    </w:p>
    <w:p>
      <w:pPr>
        <w:spacing w:line="240" w:lineRule="auto"/>
        <w:ind w:firstLine="540"/>
        <w:rPr>
          <w:rFonts w:hint="eastAsia" w:ascii="仿宋" w:hAnsi="仿宋" w:eastAsia="仿宋" w:cs="仿宋"/>
          <w:sz w:val="32"/>
          <w:szCs w:val="32"/>
        </w:rPr>
      </w:pPr>
      <w:r>
        <w:rPr>
          <w:rFonts w:hint="eastAsia" w:ascii="仿宋" w:hAnsi="仿宋" w:eastAsia="仿宋" w:cs="仿宋"/>
          <w:sz w:val="32"/>
          <w:szCs w:val="32"/>
        </w:rPr>
        <w:t>五、案例分析税前扣除凭证的合规性应注意的事项</w:t>
      </w:r>
    </w:p>
    <w:p>
      <w:pPr>
        <w:spacing w:line="240" w:lineRule="auto"/>
        <w:ind w:firstLine="6400" w:firstLineChars="2000"/>
        <w:rPr>
          <w:rFonts w:hint="eastAsia" w:ascii="仿宋" w:hAnsi="仿宋" w:eastAsia="仿宋" w:cs="仿宋"/>
          <w:sz w:val="32"/>
          <w:szCs w:val="32"/>
        </w:rPr>
      </w:pPr>
    </w:p>
    <w:p>
      <w:pPr>
        <w:spacing w:line="240" w:lineRule="auto"/>
        <w:rPr>
          <w:rFonts w:hint="eastAsia" w:ascii="仿宋" w:hAnsi="仿宋" w:eastAsia="仿宋" w:cs="仿宋"/>
          <w:sz w:val="32"/>
          <w:szCs w:val="32"/>
        </w:rPr>
      </w:pPr>
    </w:p>
    <w:p>
      <w:pPr>
        <w:wordWrap w:val="0"/>
        <w:spacing w:line="240" w:lineRule="auto"/>
        <w:jc w:val="right"/>
        <w:rPr>
          <w:rFonts w:hint="eastAsia" w:ascii="仿宋" w:hAnsi="仿宋" w:eastAsia="仿宋" w:cs="仿宋"/>
          <w:sz w:val="32"/>
          <w:szCs w:val="32"/>
          <w:lang w:val="en-US" w:eastAsia="zh-CN"/>
        </w:rPr>
      </w:pPr>
      <w:r>
        <w:rPr>
          <w:rFonts w:hint="eastAsia" w:ascii="仿宋" w:hAnsi="仿宋" w:eastAsia="仿宋" w:cs="仿宋"/>
          <w:sz w:val="32"/>
          <w:szCs w:val="32"/>
        </w:rPr>
        <w:t>二〇一八年九月五日</w:t>
      </w:r>
      <w:r>
        <w:rPr>
          <w:rFonts w:hint="eastAsia" w:ascii="仿宋" w:hAnsi="仿宋" w:eastAsia="仿宋" w:cs="仿宋"/>
          <w:sz w:val="32"/>
          <w:szCs w:val="32"/>
          <w:lang w:val="en-US" w:eastAsia="zh-CN"/>
        </w:rPr>
        <w:t xml:space="preserve">     </w:t>
      </w:r>
    </w:p>
    <w:p>
      <w:pPr>
        <w:wordWrap w:val="0"/>
        <w:spacing w:line="240" w:lineRule="auto"/>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numPr>
          <w:ilvl w:val="0"/>
          <w:numId w:val="0"/>
        </w:numPr>
        <w:spacing w:line="240" w:lineRule="auto"/>
        <w:ind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【线路导航】呼和浩特万浩大酒店</w:t>
      </w:r>
    </w:p>
    <w:p>
      <w:pPr>
        <w:numPr>
          <w:ilvl w:val="0"/>
          <w:numId w:val="0"/>
        </w:numPr>
        <w:spacing w:line="240" w:lineRule="auto"/>
        <w:ind w:leftChars="0"/>
        <w:jc w:val="left"/>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66055" cy="2997835"/>
            <wp:effectExtent l="0" t="0" r="1079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6055" cy="2997835"/>
                    </a:xfrm>
                    <a:prstGeom prst="rect">
                      <a:avLst/>
                    </a:prstGeom>
                    <a:noFill/>
                    <a:ln w="9525">
                      <a:noFill/>
                    </a:ln>
                  </pic:spPr>
                </pic:pic>
              </a:graphicData>
            </a:graphic>
          </wp:inline>
        </w:drawing>
      </w:r>
    </w:p>
    <w:p>
      <w:pPr>
        <w:numPr>
          <w:ilvl w:val="0"/>
          <w:numId w:val="0"/>
        </w:numPr>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酒店电话：0471-3257888</w:t>
      </w:r>
    </w:p>
    <w:p>
      <w:pPr>
        <w:numPr>
          <w:ilvl w:val="0"/>
          <w:numId w:val="0"/>
        </w:numPr>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酒店地址：呼和浩特市新城区海东路与万通路交汇处南300路东。</w:t>
      </w:r>
    </w:p>
    <w:sectPr>
      <w:pgSz w:w="11906" w:h="16838"/>
      <w:pgMar w:top="1661" w:right="1800" w:bottom="1440" w:left="1800" w:header="851" w:footer="992" w:gutter="0"/>
      <w:pgNumType w:fmt="numberInDash"/>
      <w:cols w:space="0" w:num="1"/>
      <w:rtlGutter w:val="0"/>
      <w:docGrid w:type="lines" w:linePitch="6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31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68"/>
    <w:rsid w:val="00027B00"/>
    <w:rsid w:val="00082A23"/>
    <w:rsid w:val="00092A0C"/>
    <w:rsid w:val="000C0D1F"/>
    <w:rsid w:val="000D0BA8"/>
    <w:rsid w:val="001B08A9"/>
    <w:rsid w:val="00210477"/>
    <w:rsid w:val="00224B68"/>
    <w:rsid w:val="00355FEC"/>
    <w:rsid w:val="00357093"/>
    <w:rsid w:val="003E54AC"/>
    <w:rsid w:val="00450345"/>
    <w:rsid w:val="004721FC"/>
    <w:rsid w:val="00475E28"/>
    <w:rsid w:val="00496AB1"/>
    <w:rsid w:val="004E0ED4"/>
    <w:rsid w:val="0051638C"/>
    <w:rsid w:val="005325CB"/>
    <w:rsid w:val="00581F20"/>
    <w:rsid w:val="005A6104"/>
    <w:rsid w:val="005E13FF"/>
    <w:rsid w:val="005F1BBB"/>
    <w:rsid w:val="00626996"/>
    <w:rsid w:val="00641C28"/>
    <w:rsid w:val="00642AA1"/>
    <w:rsid w:val="00796AE8"/>
    <w:rsid w:val="007E3120"/>
    <w:rsid w:val="007E77B4"/>
    <w:rsid w:val="007E7FA9"/>
    <w:rsid w:val="00846AF2"/>
    <w:rsid w:val="009A257F"/>
    <w:rsid w:val="00A2127A"/>
    <w:rsid w:val="00A95C2C"/>
    <w:rsid w:val="00AC3794"/>
    <w:rsid w:val="00B33802"/>
    <w:rsid w:val="00B413B1"/>
    <w:rsid w:val="00CB0761"/>
    <w:rsid w:val="00D70B85"/>
    <w:rsid w:val="00E353F7"/>
    <w:rsid w:val="00E50711"/>
    <w:rsid w:val="00EB61FB"/>
    <w:rsid w:val="00FE271C"/>
    <w:rsid w:val="00FE6AC1"/>
    <w:rsid w:val="04DB72B0"/>
    <w:rsid w:val="0DC44B30"/>
    <w:rsid w:val="0F035A83"/>
    <w:rsid w:val="11985125"/>
    <w:rsid w:val="13286FB3"/>
    <w:rsid w:val="1C135FB5"/>
    <w:rsid w:val="224D1FE7"/>
    <w:rsid w:val="24B7306D"/>
    <w:rsid w:val="2DE11E80"/>
    <w:rsid w:val="32621DB4"/>
    <w:rsid w:val="38645B69"/>
    <w:rsid w:val="3A267B7E"/>
    <w:rsid w:val="3F5A6655"/>
    <w:rsid w:val="3FC22490"/>
    <w:rsid w:val="40530027"/>
    <w:rsid w:val="4AA2131E"/>
    <w:rsid w:val="4B9E1BB5"/>
    <w:rsid w:val="4F6813A3"/>
    <w:rsid w:val="51270A14"/>
    <w:rsid w:val="655230DD"/>
    <w:rsid w:val="6B165ECA"/>
    <w:rsid w:val="6BA619FE"/>
    <w:rsid w:val="762136AE"/>
    <w:rsid w:val="76D91E1F"/>
    <w:rsid w:val="770479CF"/>
    <w:rsid w:val="77EA5920"/>
    <w:rsid w:val="7AD10697"/>
    <w:rsid w:val="7C6D10E6"/>
    <w:rsid w:val="7EE80BE7"/>
    <w:rsid w:val="7F9F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character" w:styleId="7">
    <w:name w:val="Hyperlink"/>
    <w:basedOn w:val="6"/>
    <w:unhideWhenUsed/>
    <w:qFormat/>
    <w:uiPriority w:val="99"/>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3130</Words>
  <Characters>3350</Characters>
  <Lines>11</Lines>
  <Paragraphs>3</Paragraphs>
  <TotalTime>1</TotalTime>
  <ScaleCrop>false</ScaleCrop>
  <LinksUpToDate>false</LinksUpToDate>
  <CharactersWithSpaces>3442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2018-09-05T02:07:00Z</dcterms:created>
  <dc:creator>XTZJ</dc:creator>
  <cp:lastModifiedBy>协会小白 </cp:lastModifiedBy>
  <cp:lastPrinted>2018-09-27T04:00:00Z</cp:lastPrinted>
  <dcterms:modified xsi:type="dcterms:W3CDTF">2018-10-08T03:11:12Z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